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4" w:rsidRPr="00CE1254" w:rsidRDefault="00E25D34" w:rsidP="00E25D34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E25D34" w:rsidRPr="00CE1254" w:rsidRDefault="00E25D34" w:rsidP="00E25D34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7"/>
        <w:gridCol w:w="1274"/>
        <w:gridCol w:w="1275"/>
        <w:gridCol w:w="1181"/>
        <w:gridCol w:w="1180"/>
        <w:gridCol w:w="1186"/>
      </w:tblGrid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E25D34" w:rsidRPr="00CE1254" w:rsidRDefault="00E25D34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CE1254">
              <w:rPr>
                <w:lang w:val="uk-UA"/>
              </w:rPr>
              <w:t>ЖКГіБ</w:t>
            </w:r>
            <w:proofErr w:type="spellEnd"/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2.2.1. Реалізація місцевих проектів благоустрою за участі громади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Будівництво інженерних мереж до ділянок нової забудови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1.Забезпечення мешканців нових вулиць інженерними мережами для комфортного проживання</w:t>
            </w:r>
          </w:p>
          <w:p w:rsidR="00E25D34" w:rsidRPr="00CE1254" w:rsidRDefault="00E25D34" w:rsidP="0094448D">
            <w:pPr>
              <w:rPr>
                <w:lang w:val="uk-UA" w:eastAsia="uk-UA"/>
              </w:rPr>
            </w:pPr>
            <w:r w:rsidRPr="00CE1254">
              <w:rPr>
                <w:lang w:val="uk-UA"/>
              </w:rPr>
              <w:t>2.підвищення громадської самоорганізації у вирішенні своїх першочергових проблем;</w:t>
            </w:r>
          </w:p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 w:eastAsia="uk-UA"/>
              </w:rPr>
              <w:t>3.навчити самостійно шукати джерела фінансування .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м. Володимир-Волинський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 xml:space="preserve">Орієнтована кількість </w:t>
            </w:r>
            <w:proofErr w:type="spellStart"/>
            <w:r w:rsidRPr="00CE1254">
              <w:rPr>
                <w:b/>
                <w:bCs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bCs/>
                <w:lang w:val="uk-UA"/>
              </w:rPr>
              <w:t xml:space="preserve"> вигоди: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259-домогосподарств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r w:rsidRPr="00CE1254">
              <w:rPr>
                <w:shd w:val="clear" w:color="auto" w:fill="FDFDFB"/>
                <w:lang w:val="uk-UA"/>
              </w:rPr>
              <w:t>1.Проектом передбачається</w:t>
            </w:r>
            <w:r w:rsidRPr="00CE1254">
              <w:rPr>
                <w:i/>
                <w:iCs/>
                <w:bdr w:val="none" w:sz="0" w:space="0" w:color="auto" w:frame="1"/>
                <w:shd w:val="clear" w:color="auto" w:fill="FDFDFB"/>
                <w:lang w:val="uk-UA"/>
              </w:rPr>
              <w:t> </w:t>
            </w: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будівництво інженерних мереж, до ділянок нової забудови:</w:t>
            </w:r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-вул.Пархоменка</w:t>
            </w:r>
            <w:proofErr w:type="spellEnd"/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-вул.СтепанаКуцая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;</w:t>
            </w:r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Район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вул.Будівельної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(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вул.Максименка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,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Ілляшука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);</w:t>
            </w:r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Район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вул.Луцької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(селище газопроводу –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вул.Упорова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);</w:t>
            </w:r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Район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вул.Залізничної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 (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вул.Головіна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);</w:t>
            </w:r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Район вул. Володимира Великого-Лотоцького (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вул.Л.Полінкевича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,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Спасьонова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);</w:t>
            </w:r>
          </w:p>
          <w:p w:rsidR="00E25D34" w:rsidRPr="00CE1254" w:rsidRDefault="00E25D34" w:rsidP="0094448D">
            <w:pPr>
              <w:jc w:val="both"/>
              <w:rPr>
                <w:bdr w:val="none" w:sz="0" w:space="0" w:color="auto" w:frame="1"/>
                <w:shd w:val="clear" w:color="auto" w:fill="FDFDFB"/>
                <w:lang w:val="uk-UA"/>
              </w:rPr>
            </w:pP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Район 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вул.Обїзна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 xml:space="preserve"> (</w:t>
            </w:r>
            <w:proofErr w:type="spellStart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вул.Смірнова</w:t>
            </w:r>
            <w:proofErr w:type="spellEnd"/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).</w:t>
            </w:r>
          </w:p>
          <w:p w:rsidR="00E25D34" w:rsidRPr="00CE1254" w:rsidRDefault="00E25D34" w:rsidP="0094448D">
            <w:pPr>
              <w:jc w:val="both"/>
              <w:rPr>
                <w:i/>
                <w:iCs/>
                <w:lang w:val="uk-UA"/>
              </w:rPr>
            </w:pPr>
            <w:r w:rsidRPr="00CE1254">
              <w:rPr>
                <w:bdr w:val="none" w:sz="0" w:space="0" w:color="auto" w:frame="1"/>
                <w:shd w:val="clear" w:color="auto" w:fill="FDFDFB"/>
                <w:lang w:val="uk-UA"/>
              </w:rPr>
              <w:t>2.Реалізація зазначеного проекту дозволить створити всі необхідні умови для комфортного проживання мешканців міста.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 xml:space="preserve">Активізація громади для вирішення місцевих проблем 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заходи проекту: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numPr>
                <w:ilvl w:val="0"/>
                <w:numId w:val="1"/>
              </w:numPr>
              <w:tabs>
                <w:tab w:val="left" w:pos="446"/>
              </w:tabs>
              <w:ind w:left="0" w:firstLine="16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Організація конкурсів за участю громади міста та влади, громадські обговорення ідей, спільні програми, які спрямовані на розвиток благоустрою територіальної громади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E1254">
              <w:rPr>
                <w:lang w:val="uk-UA"/>
              </w:rPr>
              <w:t>-202</w:t>
            </w:r>
            <w:r>
              <w:rPr>
                <w:lang w:val="uk-UA"/>
              </w:rPr>
              <w:t>4 роки</w:t>
            </w:r>
          </w:p>
        </w:tc>
      </w:tr>
      <w:tr w:rsidR="00E25D34" w:rsidRPr="00CE1254" w:rsidTr="0094448D">
        <w:trPr>
          <w:trHeight w:val="323"/>
        </w:trPr>
        <w:tc>
          <w:tcPr>
            <w:tcW w:w="3247" w:type="dxa"/>
            <w:vMerge w:val="restart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грн.:</w:t>
            </w:r>
          </w:p>
        </w:tc>
        <w:tc>
          <w:tcPr>
            <w:tcW w:w="1274" w:type="dxa"/>
            <w:shd w:val="clear" w:color="auto" w:fill="BFBFBF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275" w:type="dxa"/>
            <w:shd w:val="clear" w:color="auto" w:fill="BFBFBF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181" w:type="dxa"/>
            <w:shd w:val="clear" w:color="auto" w:fill="BFBFBF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180" w:type="dxa"/>
            <w:shd w:val="clear" w:color="auto" w:fill="BFBFBF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2024</w:t>
            </w:r>
          </w:p>
        </w:tc>
        <w:tc>
          <w:tcPr>
            <w:tcW w:w="1186" w:type="dxa"/>
            <w:shd w:val="clear" w:color="auto" w:fill="BFBFBF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Р</w:t>
            </w:r>
            <w:r w:rsidRPr="00CE1254">
              <w:rPr>
                <w:shd w:val="clear" w:color="auto" w:fill="BFBFBF"/>
                <w:lang w:val="uk-UA"/>
              </w:rPr>
              <w:t>азом</w:t>
            </w:r>
          </w:p>
        </w:tc>
      </w:tr>
      <w:tr w:rsidR="00E25D34" w:rsidRPr="00CE1254" w:rsidTr="0094448D">
        <w:trPr>
          <w:trHeight w:val="322"/>
        </w:trPr>
        <w:tc>
          <w:tcPr>
            <w:tcW w:w="3247" w:type="dxa"/>
            <w:vMerge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74" w:type="dxa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500,0</w:t>
            </w:r>
          </w:p>
        </w:tc>
        <w:tc>
          <w:tcPr>
            <w:tcW w:w="1275" w:type="dxa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1000,0</w:t>
            </w:r>
          </w:p>
        </w:tc>
        <w:tc>
          <w:tcPr>
            <w:tcW w:w="1181" w:type="dxa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2500</w:t>
            </w:r>
          </w:p>
        </w:tc>
        <w:tc>
          <w:tcPr>
            <w:tcW w:w="1180" w:type="dxa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2500</w:t>
            </w:r>
          </w:p>
        </w:tc>
        <w:tc>
          <w:tcPr>
            <w:tcW w:w="1186" w:type="dxa"/>
          </w:tcPr>
          <w:p w:rsidR="00E25D34" w:rsidRPr="00CE1254" w:rsidRDefault="00E25D34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6500</w:t>
            </w:r>
          </w:p>
        </w:tc>
      </w:tr>
      <w:tr w:rsidR="00E25D34" w:rsidRPr="00CE1254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ініціативних груп</w:t>
            </w:r>
          </w:p>
          <w:p w:rsidR="00E25D34" w:rsidRPr="00CE1254" w:rsidRDefault="00E25D34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  <w:p w:rsidR="00E25D34" w:rsidRPr="00CE1254" w:rsidRDefault="00E25D34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 бюджету</w:t>
            </w:r>
          </w:p>
          <w:p w:rsidR="00E25D34" w:rsidRPr="00CE1254" w:rsidRDefault="00E25D34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грантові кошти, інвестиції</w:t>
            </w:r>
          </w:p>
          <w:p w:rsidR="00E25D34" w:rsidRPr="00CE1254" w:rsidRDefault="00E25D34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E25D34" w:rsidRPr="005C41CF" w:rsidTr="0094448D">
        <w:tc>
          <w:tcPr>
            <w:tcW w:w="3247" w:type="dxa"/>
          </w:tcPr>
          <w:p w:rsidR="00E25D34" w:rsidRPr="00CE1254" w:rsidRDefault="00E25D34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096" w:type="dxa"/>
            <w:gridSpan w:val="5"/>
          </w:tcPr>
          <w:p w:rsidR="00E25D34" w:rsidRPr="00CE1254" w:rsidRDefault="00E25D34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Управління інфраструктури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 xml:space="preserve">, </w:t>
            </w:r>
            <w:r w:rsidRPr="00CE1254">
              <w:rPr>
                <w:bCs/>
                <w:bdr w:val="none" w:sz="0" w:space="0" w:color="auto" w:frame="1"/>
                <w:lang w:val="uk-UA"/>
              </w:rPr>
              <w:t>Управління містобудування, архітектури та комунальних ресурсів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 xml:space="preserve">, комунальні підприємства міста, підрядна </w:t>
            </w:r>
            <w:r w:rsidRPr="00CE1254">
              <w:rPr>
                <w:lang w:val="uk-UA"/>
              </w:rPr>
              <w:lastRenderedPageBreak/>
              <w:t>організація</w:t>
            </w:r>
          </w:p>
        </w:tc>
      </w:tr>
    </w:tbl>
    <w:p w:rsidR="00D83F0E" w:rsidRPr="00E25D34" w:rsidRDefault="00E25D34">
      <w:pPr>
        <w:rPr>
          <w:lang w:val="uk-UA"/>
        </w:rPr>
      </w:pPr>
      <w:r w:rsidRPr="00CE1254">
        <w:rPr>
          <w:lang w:val="uk-UA"/>
        </w:rPr>
        <w:lastRenderedPageBreak/>
        <w:br w:type="page"/>
      </w:r>
    </w:p>
    <w:sectPr w:rsidR="00D83F0E" w:rsidRPr="00E25D34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5D34"/>
    <w:rsid w:val="005C41CF"/>
    <w:rsid w:val="00D83F0E"/>
    <w:rsid w:val="00E25D34"/>
    <w:rsid w:val="00E6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2</cp:revision>
  <dcterms:created xsi:type="dcterms:W3CDTF">2021-04-15T11:14:00Z</dcterms:created>
  <dcterms:modified xsi:type="dcterms:W3CDTF">2021-04-15T12:28:00Z</dcterms:modified>
</cp:coreProperties>
</file>