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5F" w:rsidRPr="00C0040E" w:rsidRDefault="00C92D5F" w:rsidP="00C92D5F">
      <w:pPr>
        <w:jc w:val="center"/>
        <w:rPr>
          <w:rFonts w:ascii="Arial" w:hAnsi="Arial" w:cs="Arial"/>
          <w:b/>
          <w:color w:val="000000"/>
          <w:lang w:val="uk-UA"/>
        </w:rPr>
      </w:pPr>
      <w:r w:rsidRPr="007614BC">
        <w:rPr>
          <w:rFonts w:ascii="Arial" w:hAnsi="Arial" w:cs="Arial"/>
          <w:b/>
          <w:color w:val="000000"/>
          <w:sz w:val="22"/>
          <w:szCs w:val="22"/>
          <w:lang w:val="uk-UA"/>
        </w:rPr>
        <w:t>Проєкт</w:t>
      </w:r>
      <w:r w:rsidRPr="007614BC">
        <w:rPr>
          <w:rFonts w:ascii="Cambria" w:hAnsi="Cambria" w:cs="Arial"/>
          <w:b/>
          <w:sz w:val="22"/>
          <w:szCs w:val="22"/>
          <w:lang w:val="uk-UA" w:eastAsia="it-IT"/>
        </w:rPr>
        <w:t xml:space="preserve"> </w:t>
      </w:r>
      <w:r w:rsidRPr="00C0040E">
        <w:rPr>
          <w:rFonts w:ascii="Cambria" w:hAnsi="Cambria" w:cs="Arial"/>
          <w:b/>
          <w:lang w:val="uk-UA" w:eastAsia="it-IT"/>
        </w:rPr>
        <w:t>"</w:t>
      </w:r>
      <w:r>
        <w:rPr>
          <w:rFonts w:ascii="Cambria" w:hAnsi="Cambria" w:cs="Arial"/>
          <w:b/>
          <w:lang w:val="uk-UA" w:eastAsia="it-IT"/>
        </w:rPr>
        <w:t>Переведення багатоквартирних житлових будинків   на систему індивідуального опалення</w:t>
      </w:r>
      <w:r w:rsidRPr="00C0040E">
        <w:rPr>
          <w:rFonts w:ascii="Cambria" w:hAnsi="Cambria" w:cs="Arial"/>
          <w:b/>
          <w:lang w:val="uk-UA" w:eastAsia="it-IT"/>
        </w:rPr>
        <w:t>"</w:t>
      </w:r>
    </w:p>
    <w:p w:rsidR="00C92D5F" w:rsidRPr="00C558E1" w:rsidRDefault="00C92D5F" w:rsidP="00C92D5F">
      <w:pPr>
        <w:rPr>
          <w:lang w:val="uk-UA"/>
        </w:rPr>
      </w:pPr>
    </w:p>
    <w:tbl>
      <w:tblPr>
        <w:tblW w:w="9674" w:type="dxa"/>
        <w:jc w:val="right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1132"/>
        <w:gridCol w:w="1132"/>
        <w:gridCol w:w="1133"/>
        <w:gridCol w:w="1114"/>
        <w:gridCol w:w="2283"/>
      </w:tblGrid>
      <w:tr w:rsidR="00C92D5F" w:rsidRPr="00594819" w:rsidTr="0094448D">
        <w:trPr>
          <w:jc w:val="right"/>
        </w:trPr>
        <w:tc>
          <w:tcPr>
            <w:tcW w:w="2880" w:type="dxa"/>
          </w:tcPr>
          <w:p w:rsidR="00C92D5F" w:rsidRPr="008D08AC" w:rsidRDefault="00C92D5F" w:rsidP="0094448D">
            <w:pPr>
              <w:spacing w:before="40" w:after="40"/>
              <w:rPr>
                <w:rFonts w:ascii="Cambria" w:hAnsi="Cambria" w:cs="Arial"/>
                <w:b/>
                <w:bCs/>
                <w:lang w:val="uk-UA"/>
              </w:rPr>
            </w:pPr>
            <w:r w:rsidRPr="008D08AC"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t>Ваші контакти:</w:t>
            </w:r>
            <w:r w:rsidRPr="008D08AC">
              <w:rPr>
                <w:rFonts w:ascii="Cambria" w:hAnsi="Cambria" w:cs="Arial"/>
                <w:b/>
                <w:bCs/>
                <w:sz w:val="22"/>
                <w:szCs w:val="22"/>
                <w:lang w:val="uk-UA"/>
              </w:rPr>
              <w:br/>
            </w:r>
            <w:r w:rsidRPr="008D08AC">
              <w:rPr>
                <w:rFonts w:ascii="Cambria" w:hAnsi="Cambria" w:cs="Arial"/>
                <w:sz w:val="20"/>
                <w:szCs w:val="22"/>
                <w:lang w:val="uk-UA" w:eastAsia="it-IT"/>
              </w:rPr>
              <w:t>Прізвище Ім’я По-батькові:</w:t>
            </w:r>
          </w:p>
        </w:tc>
        <w:tc>
          <w:tcPr>
            <w:tcW w:w="6794" w:type="dxa"/>
            <w:gridSpan w:val="5"/>
          </w:tcPr>
          <w:p w:rsidR="00C92D5F" w:rsidRDefault="00C92D5F" w:rsidP="0094448D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1. </w:t>
            </w:r>
            <w:proofErr w:type="spellStart"/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>Приступа</w:t>
            </w:r>
            <w:proofErr w:type="spellEnd"/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 Сергій Леонідович - головний інженер</w:t>
            </w:r>
            <w:r w:rsidRPr="00536BB8"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 </w:t>
            </w:r>
            <w:proofErr w:type="spellStart"/>
            <w:r w:rsidRPr="00536BB8">
              <w:rPr>
                <w:rFonts w:ascii="Cambria" w:hAnsi="Cambria" w:cs="Arial"/>
                <w:sz w:val="20"/>
                <w:szCs w:val="20"/>
                <w:lang w:val="uk-UA" w:eastAsia="it-IT"/>
              </w:rPr>
              <w:t>КП</w:t>
            </w:r>
            <w:proofErr w:type="spellEnd"/>
            <w:r w:rsidRPr="00536BB8"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 "</w:t>
            </w:r>
            <w:proofErr w:type="spellStart"/>
            <w:r w:rsidRPr="00536BB8">
              <w:rPr>
                <w:rFonts w:ascii="Cambria" w:hAnsi="Cambria" w:cs="Arial"/>
                <w:sz w:val="20"/>
                <w:szCs w:val="20"/>
                <w:lang w:val="uk-UA" w:eastAsia="it-IT"/>
              </w:rPr>
              <w:t>Володимир-Волинськтеплоенего</w:t>
            </w:r>
            <w:proofErr w:type="spellEnd"/>
            <w:r w:rsidRPr="00536BB8">
              <w:rPr>
                <w:rFonts w:ascii="Cambria" w:hAnsi="Cambria" w:cs="Arial"/>
                <w:sz w:val="20"/>
                <w:szCs w:val="20"/>
                <w:lang w:val="uk-UA" w:eastAsia="it-IT"/>
              </w:rPr>
              <w:t>"</w:t>
            </w:r>
          </w:p>
          <w:p w:rsidR="00C92D5F" w:rsidRPr="00536BB8" w:rsidRDefault="00C92D5F" w:rsidP="0094448D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>2.</w:t>
            </w:r>
            <w:r w:rsidRPr="00536BB8"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Форманюк Олена Андріївна – головний економіст </w:t>
            </w:r>
            <w:proofErr w:type="spellStart"/>
            <w:r w:rsidRPr="00536BB8">
              <w:rPr>
                <w:rFonts w:ascii="Cambria" w:hAnsi="Cambria" w:cs="Arial"/>
                <w:sz w:val="20"/>
                <w:szCs w:val="20"/>
                <w:lang w:val="uk-UA" w:eastAsia="it-IT"/>
              </w:rPr>
              <w:t>КП</w:t>
            </w:r>
            <w:proofErr w:type="spellEnd"/>
            <w:r w:rsidRPr="00536BB8"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 "</w:t>
            </w:r>
            <w:proofErr w:type="spellStart"/>
            <w:r w:rsidRPr="00536BB8">
              <w:rPr>
                <w:rFonts w:ascii="Cambria" w:hAnsi="Cambria" w:cs="Arial"/>
                <w:sz w:val="20"/>
                <w:szCs w:val="20"/>
                <w:lang w:val="uk-UA" w:eastAsia="it-IT"/>
              </w:rPr>
              <w:t>Володимир-Волинськтеплоенего</w:t>
            </w:r>
            <w:proofErr w:type="spellEnd"/>
            <w:r w:rsidRPr="00536BB8">
              <w:rPr>
                <w:rFonts w:ascii="Cambria" w:hAnsi="Cambria" w:cs="Arial"/>
                <w:sz w:val="20"/>
                <w:szCs w:val="20"/>
                <w:lang w:val="uk-UA" w:eastAsia="it-IT"/>
              </w:rPr>
              <w:t>"</w:t>
            </w:r>
          </w:p>
        </w:tc>
      </w:tr>
      <w:tr w:rsidR="00C92D5F" w:rsidRPr="00594819" w:rsidTr="0094448D">
        <w:trPr>
          <w:jc w:val="right"/>
        </w:trPr>
        <w:tc>
          <w:tcPr>
            <w:tcW w:w="2880" w:type="dxa"/>
            <w:vAlign w:val="center"/>
          </w:tcPr>
          <w:p w:rsidR="00C92D5F" w:rsidRPr="00594819" w:rsidRDefault="00C92D5F" w:rsidP="0094448D">
            <w:pPr>
              <w:pStyle w:val="6"/>
              <w:spacing w:before="0" w:after="0"/>
              <w:rPr>
                <w:rFonts w:ascii="Cambria" w:hAnsi="Cambria"/>
                <w:color w:val="000000"/>
                <w:lang w:val="uk-UA"/>
              </w:rPr>
            </w:pPr>
            <w:r w:rsidRPr="00594819">
              <w:rPr>
                <w:rFonts w:ascii="Cambria" w:hAnsi="Cambria"/>
                <w:color w:val="000000"/>
                <w:lang w:val="uk-UA"/>
              </w:rPr>
              <w:t>Завдання Стратегії, якому відповідає проект:</w:t>
            </w:r>
          </w:p>
        </w:tc>
        <w:tc>
          <w:tcPr>
            <w:tcW w:w="6794" w:type="dxa"/>
            <w:gridSpan w:val="5"/>
          </w:tcPr>
          <w:p w:rsidR="00C92D5F" w:rsidRDefault="00C92D5F" w:rsidP="0094448D">
            <w:pPr>
              <w:pBdr>
                <w:left w:val="single" w:sz="18" w:space="4" w:color="auto"/>
              </w:pBdr>
              <w:spacing w:before="40" w:after="40"/>
              <w:jc w:val="both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r w:rsidRPr="00536BB8"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Підвищення рівня </w:t>
            </w:r>
            <w:proofErr w:type="spellStart"/>
            <w:r w:rsidRPr="00536BB8">
              <w:rPr>
                <w:rFonts w:ascii="Cambria" w:hAnsi="Cambria" w:cs="Arial"/>
                <w:sz w:val="20"/>
                <w:szCs w:val="20"/>
                <w:lang w:val="uk-UA" w:eastAsia="it-IT"/>
              </w:rPr>
              <w:t>енергоефективності</w:t>
            </w:r>
            <w:proofErr w:type="spellEnd"/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  (п.2.4. Стратегії)</w:t>
            </w:r>
          </w:p>
          <w:p w:rsidR="00C92D5F" w:rsidRPr="00536BB8" w:rsidRDefault="00B65F56" w:rsidP="0094448D">
            <w:pPr>
              <w:pBdr>
                <w:left w:val="single" w:sz="18" w:space="4" w:color="auto"/>
              </w:pBdr>
              <w:spacing w:before="40" w:after="40"/>
              <w:jc w:val="both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>Розвиток альтернативної енергетики 2.4.2</w:t>
            </w:r>
          </w:p>
        </w:tc>
      </w:tr>
      <w:tr w:rsidR="00C92D5F" w:rsidRPr="00D353F8" w:rsidTr="0094448D">
        <w:trPr>
          <w:jc w:val="right"/>
        </w:trPr>
        <w:tc>
          <w:tcPr>
            <w:tcW w:w="2880" w:type="dxa"/>
            <w:vAlign w:val="center"/>
          </w:tcPr>
          <w:p w:rsidR="00C92D5F" w:rsidRPr="00594819" w:rsidRDefault="00C92D5F" w:rsidP="0094448D">
            <w:pPr>
              <w:rPr>
                <w:rFonts w:ascii="Cambria" w:hAnsi="Cambria"/>
                <w:b/>
                <w:bCs/>
                <w:color w:val="000000"/>
              </w:rPr>
            </w:pPr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Назва проекту:</w:t>
            </w:r>
          </w:p>
        </w:tc>
        <w:tc>
          <w:tcPr>
            <w:tcW w:w="6794" w:type="dxa"/>
            <w:gridSpan w:val="5"/>
          </w:tcPr>
          <w:p w:rsidR="00C92D5F" w:rsidRPr="00B65F56" w:rsidRDefault="00C92D5F" w:rsidP="0094448D">
            <w:pPr>
              <w:spacing w:before="40" w:after="40"/>
              <w:jc w:val="both"/>
              <w:rPr>
                <w:rFonts w:ascii="Cambria" w:hAnsi="Cambria" w:cs="Arial"/>
                <w:b/>
                <w:sz w:val="20"/>
                <w:szCs w:val="20"/>
                <w:lang w:val="uk-UA" w:eastAsia="it-IT"/>
              </w:rPr>
            </w:pPr>
            <w:r w:rsidRPr="00B65F56">
              <w:rPr>
                <w:rFonts w:ascii="Cambria" w:hAnsi="Cambria" w:cs="Arial"/>
                <w:b/>
                <w:sz w:val="20"/>
                <w:szCs w:val="20"/>
                <w:lang w:val="uk-UA" w:eastAsia="it-IT"/>
              </w:rPr>
              <w:t>Переведення багатоквартирних житлових будинків на систему індивідуального опалення</w:t>
            </w:r>
          </w:p>
        </w:tc>
      </w:tr>
      <w:tr w:rsidR="00C92D5F" w:rsidRPr="00594819" w:rsidTr="0094448D">
        <w:trPr>
          <w:jc w:val="right"/>
        </w:trPr>
        <w:tc>
          <w:tcPr>
            <w:tcW w:w="2880" w:type="dxa"/>
            <w:vAlign w:val="center"/>
          </w:tcPr>
          <w:p w:rsidR="00C92D5F" w:rsidRPr="00594819" w:rsidRDefault="00C92D5F" w:rsidP="0094448D">
            <w:pPr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proofErr w:type="gram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Ц</w:t>
            </w:r>
            <w:proofErr w:type="gram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ілі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проекту:</w:t>
            </w:r>
          </w:p>
        </w:tc>
        <w:tc>
          <w:tcPr>
            <w:tcW w:w="6794" w:type="dxa"/>
            <w:gridSpan w:val="5"/>
          </w:tcPr>
          <w:p w:rsidR="00C92D5F" w:rsidRPr="00536BB8" w:rsidRDefault="00C92D5F" w:rsidP="0094448D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>Реалізація права жителів багатоквартирних будинків міста, у яких на день набрання чинності Закону України "Про житлово-комунальні послуги" (01.05.2019 р.) не менш як половина квартир відокремлена від мереж централізованого опалення,  у встановленому порядку відключити свою квартиру та влаштувати систему індивідуального теплопостачання</w:t>
            </w:r>
          </w:p>
        </w:tc>
      </w:tr>
      <w:tr w:rsidR="00C92D5F" w:rsidRPr="00594819" w:rsidTr="0094448D">
        <w:trPr>
          <w:jc w:val="right"/>
        </w:trPr>
        <w:tc>
          <w:tcPr>
            <w:tcW w:w="2880" w:type="dxa"/>
            <w:vAlign w:val="center"/>
          </w:tcPr>
          <w:p w:rsidR="00C92D5F" w:rsidRPr="00594819" w:rsidRDefault="00C92D5F" w:rsidP="0094448D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Територія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на</w:t>
            </w:r>
            <w:proofErr w:type="gram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яку</w:t>
            </w:r>
            <w:proofErr w:type="gram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проект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матиме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вплив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</w:tcPr>
          <w:p w:rsidR="00C92D5F" w:rsidRPr="00536BB8" w:rsidRDefault="00C92D5F" w:rsidP="0094448D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>м.Володимир-Волинський</w:t>
            </w:r>
            <w:proofErr w:type="spellEnd"/>
          </w:p>
        </w:tc>
      </w:tr>
      <w:tr w:rsidR="00C92D5F" w:rsidRPr="00594819" w:rsidTr="0094448D">
        <w:trPr>
          <w:jc w:val="right"/>
        </w:trPr>
        <w:tc>
          <w:tcPr>
            <w:tcW w:w="2880" w:type="dxa"/>
            <w:vAlign w:val="center"/>
          </w:tcPr>
          <w:p w:rsidR="00C92D5F" w:rsidRPr="00594819" w:rsidRDefault="00C92D5F" w:rsidP="0094448D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Орієнтовна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кількість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отримувачів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вигод</w:t>
            </w:r>
            <w:proofErr w:type="spellEnd"/>
          </w:p>
        </w:tc>
        <w:tc>
          <w:tcPr>
            <w:tcW w:w="6794" w:type="dxa"/>
            <w:gridSpan w:val="5"/>
          </w:tcPr>
          <w:p w:rsidR="00C92D5F" w:rsidRDefault="00C92D5F" w:rsidP="0094448D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>Домогосподарства багатоквартирних будинків міста,  які розташовані за адресами:</w:t>
            </w:r>
          </w:p>
          <w:p w:rsidR="00C92D5F" w:rsidRDefault="00C92D5F" w:rsidP="00C92D5F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>вул.Незалежності</w:t>
            </w:r>
            <w:proofErr w:type="spellEnd"/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>, 8 (9-квартирний будинок, 6 квартир обладнані  індивідуальним теплопостачанням);</w:t>
            </w:r>
          </w:p>
          <w:p w:rsidR="00C92D5F" w:rsidRPr="00536BB8" w:rsidRDefault="00C92D5F" w:rsidP="00C92D5F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>вул.Луцька</w:t>
            </w:r>
            <w:proofErr w:type="spellEnd"/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>, 176 (12-квартирний будинок, 9 квартир обладнані  індивідуальним теплопостачанням)</w:t>
            </w:r>
          </w:p>
        </w:tc>
      </w:tr>
      <w:tr w:rsidR="00C92D5F" w:rsidRPr="00185CF3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C92D5F" w:rsidRPr="00594819" w:rsidRDefault="00C92D5F" w:rsidP="0094448D">
            <w:pPr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Стислий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опис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проекту:</w:t>
            </w:r>
          </w:p>
        </w:tc>
        <w:tc>
          <w:tcPr>
            <w:tcW w:w="6794" w:type="dxa"/>
            <w:gridSpan w:val="5"/>
          </w:tcPr>
          <w:p w:rsidR="00C92D5F" w:rsidRPr="00536BB8" w:rsidRDefault="00C92D5F" w:rsidP="0094448D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Власники квартир у багатоквартирних будинках міста, у яких на 01.05.2019 р. не менш як половина квартир відокремлена від мереж централізованого опалення,  мають право відключити свою квартиру та влаштувати систему індивідуального теплопостачання відповідно до </w:t>
            </w:r>
            <w:r w:rsidRPr="00C037D6">
              <w:rPr>
                <w:rFonts w:ascii="Cambria" w:hAnsi="Cambria" w:cs="Arial"/>
                <w:sz w:val="20"/>
                <w:szCs w:val="20"/>
                <w:lang w:val="uk-UA" w:eastAsia="it-IT"/>
              </w:rPr>
              <w:t>Порядку</w:t>
            </w:r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 відключення споживачів від систем централізованого опалення та постачання гарячої води, затвердженого наказом </w:t>
            </w:r>
            <w:proofErr w:type="spellStart"/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>Мінрегіону</w:t>
            </w:r>
            <w:proofErr w:type="spellEnd"/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 від 26.07.2019р. № 169.</w:t>
            </w:r>
          </w:p>
        </w:tc>
      </w:tr>
      <w:tr w:rsidR="00C92D5F" w:rsidRPr="002025D5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C92D5F" w:rsidRPr="00594819" w:rsidRDefault="00C92D5F" w:rsidP="0094448D">
            <w:pPr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Очікувані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результати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  <w:shd w:val="clear" w:color="auto" w:fill="FFFFFF"/>
          </w:tcPr>
          <w:p w:rsidR="00C92D5F" w:rsidRPr="00536BB8" w:rsidRDefault="00C92D5F" w:rsidP="0094448D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>Втілення права жителів зазначених вище багатоквартирних будинків відокремитися від мереж централізованого опалення шляхом влаштування системи індивідуального теплопостачання.</w:t>
            </w:r>
          </w:p>
        </w:tc>
      </w:tr>
      <w:tr w:rsidR="00C92D5F" w:rsidRPr="00C41D1A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C92D5F" w:rsidRPr="00594819" w:rsidRDefault="00C92D5F" w:rsidP="0094448D">
            <w:pPr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Ключові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заходи проекту:</w:t>
            </w:r>
          </w:p>
        </w:tc>
        <w:tc>
          <w:tcPr>
            <w:tcW w:w="6794" w:type="dxa"/>
            <w:gridSpan w:val="5"/>
          </w:tcPr>
          <w:p w:rsidR="00C92D5F" w:rsidRDefault="00C92D5F" w:rsidP="0094448D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 xml:space="preserve">1. Звернення власника квартири до уповноваженої комісії міськвиконкому  по розгляду питань щодо відключення споживачів від систем централізованого теплопостачання. </w:t>
            </w:r>
          </w:p>
          <w:p w:rsidR="00C92D5F" w:rsidRDefault="00C92D5F" w:rsidP="0094448D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>2. Забезпечення виготовлення власником квартири проекту встановлення системи індивідуального теплопостачання.</w:t>
            </w:r>
          </w:p>
          <w:p w:rsidR="00C92D5F" w:rsidRDefault="00C92D5F" w:rsidP="0094448D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>3. Виконання робіт з відокремлення квартири від централізованого теплопостачання.</w:t>
            </w:r>
          </w:p>
          <w:p w:rsidR="00C92D5F" w:rsidRDefault="00C92D5F" w:rsidP="0094448D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>4. Складання акту про відокремлення квартири від централізованого теплопостачання .</w:t>
            </w:r>
          </w:p>
          <w:p w:rsidR="00C92D5F" w:rsidRPr="00536BB8" w:rsidRDefault="00C92D5F" w:rsidP="0094448D">
            <w:pPr>
              <w:spacing w:before="40" w:after="40"/>
              <w:jc w:val="both"/>
              <w:rPr>
                <w:rFonts w:ascii="Cambria" w:hAnsi="Cambria" w:cs="Arial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 w:cs="Arial"/>
                <w:sz w:val="20"/>
                <w:szCs w:val="20"/>
                <w:lang w:val="uk-UA" w:eastAsia="it-IT"/>
              </w:rPr>
              <w:t>5. Розірвання договору з теплопостачальною організацією.</w:t>
            </w:r>
          </w:p>
        </w:tc>
      </w:tr>
      <w:tr w:rsidR="00C92D5F" w:rsidRPr="00594819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C92D5F" w:rsidRPr="00594819" w:rsidRDefault="00C92D5F" w:rsidP="0094448D">
            <w:pPr>
              <w:rPr>
                <w:rFonts w:ascii="Cambria" w:hAnsi="Cambria"/>
                <w:b/>
                <w:color w:val="000000"/>
              </w:rPr>
            </w:pP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Період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здійснення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794" w:type="dxa"/>
            <w:gridSpan w:val="5"/>
            <w:vAlign w:val="center"/>
          </w:tcPr>
          <w:p w:rsidR="00C92D5F" w:rsidRPr="00536BB8" w:rsidRDefault="00C92D5F" w:rsidP="0094448D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eastAsia="it-IT"/>
              </w:rPr>
            </w:pPr>
            <w:r w:rsidRPr="00536BB8">
              <w:rPr>
                <w:rFonts w:ascii="Cambria" w:hAnsi="Cambria"/>
                <w:b/>
                <w:color w:val="000000"/>
                <w:sz w:val="20"/>
                <w:szCs w:val="20"/>
              </w:rPr>
              <w:t>20</w:t>
            </w:r>
            <w:r w:rsidRPr="00536BB8">
              <w:rPr>
                <w:rFonts w:ascii="Cambria" w:hAnsi="Cambria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FE5811">
              <w:rPr>
                <w:rFonts w:ascii="Cambria" w:hAnsi="Cambria"/>
                <w:b/>
                <w:color w:val="000000"/>
                <w:sz w:val="20"/>
                <w:szCs w:val="20"/>
              </w:rPr>
              <w:t>1</w:t>
            </w:r>
            <w:r w:rsidRPr="00536BB8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– 20</w:t>
            </w:r>
            <w:r w:rsidRPr="00536BB8">
              <w:rPr>
                <w:rFonts w:ascii="Cambria" w:hAnsi="Cambria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FE5811">
              <w:rPr>
                <w:rFonts w:ascii="Cambria" w:hAnsi="Cambria"/>
                <w:b/>
                <w:color w:val="000000"/>
                <w:sz w:val="20"/>
                <w:szCs w:val="20"/>
              </w:rPr>
              <w:t>4</w:t>
            </w:r>
            <w:r w:rsidRPr="00536BB8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роки:</w:t>
            </w:r>
          </w:p>
        </w:tc>
      </w:tr>
      <w:tr w:rsidR="00C92D5F" w:rsidRPr="00594819" w:rsidTr="0094448D">
        <w:trPr>
          <w:jc w:val="right"/>
        </w:trPr>
        <w:tc>
          <w:tcPr>
            <w:tcW w:w="2880" w:type="dxa"/>
            <w:vMerge w:val="restart"/>
            <w:shd w:val="clear" w:color="auto" w:fill="FFFFFF"/>
            <w:vAlign w:val="center"/>
          </w:tcPr>
          <w:p w:rsidR="00C92D5F" w:rsidRPr="00594819" w:rsidRDefault="00C92D5F" w:rsidP="0094448D">
            <w:pPr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Орієнтовна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вартість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проекту, тис</w:t>
            </w:r>
            <w:proofErr w:type="gram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рн.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C92D5F" w:rsidRPr="00FE5811" w:rsidRDefault="00C92D5F" w:rsidP="0094448D">
            <w:pPr>
              <w:jc w:val="both"/>
              <w:rPr>
                <w:rFonts w:ascii="Cambria" w:hAnsi="Cambria"/>
                <w:b/>
                <w:color w:val="000000"/>
                <w:sz w:val="20"/>
                <w:szCs w:val="20"/>
                <w:lang w:eastAsia="it-IT"/>
              </w:rPr>
            </w:pPr>
            <w:r w:rsidRPr="00536BB8">
              <w:rPr>
                <w:rFonts w:ascii="Cambria" w:hAnsi="Cambria"/>
                <w:b/>
                <w:color w:val="000000"/>
                <w:sz w:val="20"/>
                <w:szCs w:val="20"/>
                <w:lang w:eastAsia="it-IT"/>
              </w:rPr>
              <w:t>20</w:t>
            </w:r>
            <w:r w:rsidRPr="00536BB8"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  <w:t>2</w:t>
            </w:r>
            <w:r w:rsidRPr="00FE5811">
              <w:rPr>
                <w:rFonts w:ascii="Cambria" w:hAnsi="Cambria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C92D5F" w:rsidRPr="00FE5811" w:rsidRDefault="00C92D5F" w:rsidP="0094448D">
            <w:pPr>
              <w:jc w:val="both"/>
              <w:rPr>
                <w:rFonts w:ascii="Cambria" w:hAnsi="Cambria"/>
                <w:b/>
                <w:color w:val="000000"/>
                <w:sz w:val="20"/>
                <w:szCs w:val="20"/>
                <w:lang w:eastAsia="it-IT"/>
              </w:rPr>
            </w:pPr>
            <w:r w:rsidRPr="00536BB8">
              <w:rPr>
                <w:rFonts w:ascii="Cambria" w:hAnsi="Cambria"/>
                <w:b/>
                <w:color w:val="000000"/>
                <w:sz w:val="20"/>
                <w:szCs w:val="20"/>
                <w:lang w:eastAsia="it-IT"/>
              </w:rPr>
              <w:t>20</w:t>
            </w:r>
            <w:r w:rsidRPr="00536BB8"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  <w:t>2</w:t>
            </w:r>
            <w:proofErr w:type="spellStart"/>
            <w:r w:rsidRPr="00FE5811">
              <w:rPr>
                <w:rFonts w:ascii="Cambria" w:hAnsi="Cambria"/>
                <w:b/>
                <w:color w:val="000000"/>
                <w:sz w:val="20"/>
                <w:szCs w:val="20"/>
                <w:lang w:eastAsia="it-IT"/>
              </w:rPr>
              <w:t>2</w:t>
            </w:r>
            <w:proofErr w:type="spellEnd"/>
          </w:p>
        </w:tc>
        <w:tc>
          <w:tcPr>
            <w:tcW w:w="1133" w:type="dxa"/>
            <w:shd w:val="clear" w:color="auto" w:fill="E6E6E6"/>
            <w:vAlign w:val="center"/>
          </w:tcPr>
          <w:p w:rsidR="00C92D5F" w:rsidRPr="00FE5811" w:rsidRDefault="00C92D5F" w:rsidP="0094448D">
            <w:pPr>
              <w:jc w:val="both"/>
              <w:rPr>
                <w:rFonts w:ascii="Cambria" w:hAnsi="Cambria"/>
                <w:b/>
                <w:color w:val="000000"/>
                <w:sz w:val="20"/>
                <w:szCs w:val="20"/>
                <w:lang w:eastAsia="it-IT"/>
              </w:rPr>
            </w:pPr>
            <w:r w:rsidRPr="00536BB8"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  <w:t>202</w:t>
            </w:r>
            <w:r w:rsidRPr="00FE5811">
              <w:rPr>
                <w:rFonts w:ascii="Cambria" w:hAnsi="Cambria"/>
                <w:b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14" w:type="dxa"/>
            <w:shd w:val="clear" w:color="auto" w:fill="E6E6E6"/>
            <w:vAlign w:val="center"/>
          </w:tcPr>
          <w:p w:rsidR="00C92D5F" w:rsidRPr="00FE5811" w:rsidRDefault="00C92D5F" w:rsidP="0094448D">
            <w:pPr>
              <w:jc w:val="both"/>
              <w:rPr>
                <w:rFonts w:ascii="Cambria" w:hAnsi="Cambria"/>
                <w:b/>
                <w:color w:val="000000"/>
                <w:sz w:val="20"/>
                <w:szCs w:val="20"/>
                <w:lang w:eastAsia="it-IT"/>
              </w:rPr>
            </w:pPr>
            <w:r w:rsidRPr="00FE5811">
              <w:rPr>
                <w:rFonts w:ascii="Cambria" w:hAnsi="Cambria"/>
                <w:b/>
                <w:color w:val="000000"/>
                <w:sz w:val="20"/>
                <w:szCs w:val="20"/>
                <w:lang w:eastAsia="it-IT"/>
              </w:rPr>
              <w:t>2024</w:t>
            </w:r>
          </w:p>
        </w:tc>
        <w:tc>
          <w:tcPr>
            <w:tcW w:w="2283" w:type="dxa"/>
            <w:shd w:val="clear" w:color="auto" w:fill="E6E6E6"/>
            <w:vAlign w:val="center"/>
          </w:tcPr>
          <w:p w:rsidR="00C92D5F" w:rsidRPr="00536BB8" w:rsidRDefault="00C92D5F" w:rsidP="0094448D">
            <w:pPr>
              <w:jc w:val="both"/>
              <w:rPr>
                <w:rFonts w:ascii="Cambria" w:hAnsi="Cambria"/>
                <w:b/>
                <w:color w:val="000000"/>
                <w:sz w:val="20"/>
                <w:szCs w:val="20"/>
                <w:lang w:eastAsia="it-IT"/>
              </w:rPr>
            </w:pPr>
            <w:r w:rsidRPr="00536BB8">
              <w:rPr>
                <w:rFonts w:ascii="Cambria" w:hAnsi="Cambria"/>
                <w:b/>
                <w:color w:val="000000"/>
                <w:sz w:val="20"/>
                <w:szCs w:val="20"/>
                <w:lang w:eastAsia="it-IT"/>
              </w:rPr>
              <w:t>Разом</w:t>
            </w:r>
          </w:p>
        </w:tc>
      </w:tr>
      <w:tr w:rsidR="00C92D5F" w:rsidRPr="00594819" w:rsidTr="0094448D">
        <w:trPr>
          <w:jc w:val="right"/>
        </w:trPr>
        <w:tc>
          <w:tcPr>
            <w:tcW w:w="2880" w:type="dxa"/>
            <w:vMerge/>
            <w:shd w:val="clear" w:color="auto" w:fill="FFFFFF"/>
            <w:vAlign w:val="center"/>
          </w:tcPr>
          <w:p w:rsidR="00C92D5F" w:rsidRPr="00594819" w:rsidRDefault="00C92D5F" w:rsidP="0094448D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511" w:type="dxa"/>
            <w:gridSpan w:val="4"/>
            <w:vAlign w:val="center"/>
          </w:tcPr>
          <w:p w:rsidR="00C92D5F" w:rsidRPr="007C4E39" w:rsidRDefault="00C92D5F" w:rsidP="0094448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</w:pPr>
            <w:r w:rsidRPr="007C4E39"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  <w:t>У будь-який час</w:t>
            </w:r>
          </w:p>
        </w:tc>
        <w:tc>
          <w:tcPr>
            <w:tcW w:w="2283" w:type="dxa"/>
            <w:vAlign w:val="center"/>
          </w:tcPr>
          <w:p w:rsidR="00C92D5F" w:rsidRPr="002025D5" w:rsidRDefault="00C92D5F" w:rsidP="0094448D">
            <w:pPr>
              <w:jc w:val="both"/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  <w:lang w:val="uk-UA" w:eastAsia="it-IT"/>
              </w:rPr>
              <w:t>500,0</w:t>
            </w:r>
          </w:p>
        </w:tc>
      </w:tr>
      <w:tr w:rsidR="00C92D5F" w:rsidRPr="00594819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C92D5F" w:rsidRPr="00594819" w:rsidRDefault="00C92D5F" w:rsidP="0094448D">
            <w:pPr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Джерела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фінансування</w:t>
            </w:r>
            <w:proofErr w:type="spellEnd"/>
            <w:r w:rsidRPr="0059481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4" w:type="dxa"/>
            <w:gridSpan w:val="5"/>
            <w:vAlign w:val="center"/>
          </w:tcPr>
          <w:p w:rsidR="00C92D5F" w:rsidRPr="003417F6" w:rsidRDefault="00C92D5F" w:rsidP="0094448D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  <w:t xml:space="preserve"> Кошти власників квартир</w:t>
            </w:r>
          </w:p>
        </w:tc>
      </w:tr>
      <w:tr w:rsidR="00C92D5F" w:rsidRPr="0047174A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C92D5F" w:rsidRPr="00594819" w:rsidRDefault="00C92D5F" w:rsidP="0094448D">
            <w:pPr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Ключові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потенційні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учасники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>реалізації</w:t>
            </w:r>
            <w:proofErr w:type="spellEnd"/>
            <w:r w:rsidRPr="00594819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проекту:</w:t>
            </w:r>
          </w:p>
        </w:tc>
        <w:tc>
          <w:tcPr>
            <w:tcW w:w="6794" w:type="dxa"/>
            <w:gridSpan w:val="5"/>
            <w:vAlign w:val="center"/>
          </w:tcPr>
          <w:p w:rsidR="00C92D5F" w:rsidRDefault="00C92D5F" w:rsidP="0094448D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  <w:t>1. Власники квартир.</w:t>
            </w:r>
          </w:p>
          <w:p w:rsidR="00C92D5F" w:rsidRPr="0047174A" w:rsidRDefault="00C92D5F" w:rsidP="0094448D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  <w:t xml:space="preserve">2.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  <w:t>КП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  <w:t xml:space="preserve"> "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  <w:t>Володимир-Волинськтеплоенерго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  <w:lang w:val="uk-UA" w:eastAsia="it-IT"/>
              </w:rPr>
              <w:t>".</w:t>
            </w:r>
          </w:p>
        </w:tc>
      </w:tr>
    </w:tbl>
    <w:p w:rsidR="00C92D5F" w:rsidRDefault="00C92D5F" w:rsidP="00C92D5F">
      <w:pPr>
        <w:jc w:val="both"/>
        <w:rPr>
          <w:rFonts w:cs="Arial"/>
          <w:lang w:val="uk-UA"/>
        </w:rPr>
      </w:pPr>
    </w:p>
    <w:p w:rsidR="00D83F0E" w:rsidRPr="00C92D5F" w:rsidRDefault="00D83F0E">
      <w:pPr>
        <w:rPr>
          <w:lang w:val="uk-UA"/>
        </w:rPr>
      </w:pPr>
    </w:p>
    <w:sectPr w:rsidR="00D83F0E" w:rsidRPr="00C92D5F" w:rsidSect="00A56898">
      <w:pgSz w:w="11906" w:h="16838"/>
      <w:pgMar w:top="180" w:right="737" w:bottom="18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C0ACB"/>
    <w:multiLevelType w:val="hybridMultilevel"/>
    <w:tmpl w:val="F300DB5A"/>
    <w:lvl w:ilvl="0" w:tplc="D12CF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MS Mincho" w:hAnsi="Cambr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2D5F"/>
    <w:rsid w:val="00066523"/>
    <w:rsid w:val="005B15B9"/>
    <w:rsid w:val="006C0075"/>
    <w:rsid w:val="00B65F56"/>
    <w:rsid w:val="00C92D5F"/>
    <w:rsid w:val="00D8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5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92D5F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C92D5F"/>
    <w:rPr>
      <w:rFonts w:ascii="Times New Roman" w:eastAsia="MS Mincho" w:hAnsi="Times New Roman" w:cs="Times New Roman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Subitska</dc:creator>
  <cp:lastModifiedBy>Nataly</cp:lastModifiedBy>
  <cp:revision>4</cp:revision>
  <dcterms:created xsi:type="dcterms:W3CDTF">2021-04-15T12:10:00Z</dcterms:created>
  <dcterms:modified xsi:type="dcterms:W3CDTF">2021-04-16T08:47:00Z</dcterms:modified>
</cp:coreProperties>
</file>