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4" w:rsidRDefault="006138E4" w:rsidP="006138E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Форма</w:t>
      </w: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технічного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завдання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на проект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місцевого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розвитку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138E4" w:rsidRPr="005A7A88" w:rsidRDefault="006138E4" w:rsidP="006138E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до Плану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реалізації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Стратегії</w:t>
      </w:r>
      <w:proofErr w:type="spellEnd"/>
    </w:p>
    <w:p w:rsidR="00B421A7" w:rsidRDefault="00B421A7" w:rsidP="00EF04E8">
      <w:pPr>
        <w:rPr>
          <w:lang w:val="uk-UA"/>
        </w:rPr>
      </w:pPr>
    </w:p>
    <w:p w:rsidR="00CA7827" w:rsidRPr="00B421A7" w:rsidRDefault="00CA7827" w:rsidP="00EF04E8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0B0B74" w:rsidRPr="00594819">
        <w:trPr>
          <w:jc w:val="right"/>
        </w:trPr>
        <w:tc>
          <w:tcPr>
            <w:tcW w:w="2880" w:type="dxa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B0B74" w:rsidRPr="008D08AC" w:rsidRDefault="00C755D3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Ковальчук Ірина Сергіївна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0B0B74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0B0B74" w:rsidRPr="008D08AC" w:rsidRDefault="00C755D3" w:rsidP="0006038B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C755D3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2.1.1. </w:t>
            </w:r>
            <w:proofErr w:type="spellStart"/>
            <w:r w:rsidRPr="00C755D3">
              <w:rPr>
                <w:rFonts w:ascii="Cambria" w:hAnsi="Cambria" w:cs="Arial"/>
                <w:sz w:val="18"/>
                <w:szCs w:val="18"/>
                <w:lang w:val="uk-UA" w:eastAsia="it-IT"/>
              </w:rPr>
              <w:t>Брендинг</w:t>
            </w:r>
            <w:proofErr w:type="spellEnd"/>
            <w:r w:rsidRPr="00C755D3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міста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0B0B74" w:rsidRPr="00CC5877" w:rsidRDefault="007B3860" w:rsidP="000B0B74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Створення туристичного сайту Володимир-Волинської міської територіальної громади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0B0B74" w:rsidRDefault="007B3860" w:rsidP="007B3860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Створити туристичний сайт Володимир-Волинської міської територіальної громади</w:t>
            </w:r>
          </w:p>
          <w:p w:rsidR="007B3860" w:rsidRDefault="007B3860" w:rsidP="007B3860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Наповнити сайт туристичною інформацією </w:t>
            </w:r>
          </w:p>
          <w:p w:rsidR="00C755D3" w:rsidRPr="00CC5877" w:rsidRDefault="00C755D3" w:rsidP="00C755D3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Підвищити туристичну привабливість Володимир-Волинської міської територіальної громади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на яку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</w:tcPr>
          <w:p w:rsidR="000B0B74" w:rsidRPr="00CC5877" w:rsidRDefault="007B3860" w:rsidP="000B0B74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Володимир-Волинська міська територіальна громада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7B3860" w:rsidRPr="00CC5877" w:rsidRDefault="007B3860" w:rsidP="000B0B74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70 000 осіб (жителі Володимир-Волинської міської територіальної громади, гості міста та туристи)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0B0B74" w:rsidRPr="00CC5877" w:rsidRDefault="007B3860" w:rsidP="00FC56EC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В межах проєкту буде с</w:t>
            </w:r>
            <w:r w:rsidR="00FC56EC">
              <w:rPr>
                <w:rFonts w:ascii="Cambria" w:hAnsi="Cambria" w:cs="Arial"/>
                <w:sz w:val="18"/>
                <w:szCs w:val="18"/>
                <w:lang w:val="uk-UA" w:eastAsia="it-IT"/>
              </w:rPr>
              <w:t>творено туристичний сайт Володимир-Волинської міської територіальної громади з метою п</w:t>
            </w:r>
            <w:r w:rsidR="00FC56EC" w:rsidRPr="00FC56EC">
              <w:rPr>
                <w:rFonts w:ascii="Cambria" w:hAnsi="Cambria" w:cs="Arial"/>
                <w:sz w:val="18"/>
                <w:szCs w:val="18"/>
                <w:lang w:val="uk-UA" w:eastAsia="it-IT"/>
              </w:rPr>
              <w:t>оширення інформації про туристичні можливості та ресурси міста через мережу Internet</w:t>
            </w:r>
            <w:r w:rsidR="00FC56EC">
              <w:rPr>
                <w:rFonts w:ascii="Cambria" w:hAnsi="Cambria" w:cs="Arial"/>
                <w:sz w:val="18"/>
                <w:szCs w:val="18"/>
                <w:lang w:val="uk-UA" w:eastAsia="it-IT"/>
              </w:rPr>
              <w:t>.  Туристичний сайт буде містити інформацію про об’єкти туристичного показу, заклади харчування, проживання, можливість замовлення екскурсії, транспортне сполучення та іншу інформацію, корисну для</w:t>
            </w:r>
            <w:r w:rsidR="00766F6D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потенційного</w:t>
            </w:r>
            <w:r w:rsidR="00FC56EC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туриста.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0B0B74" w:rsidRPr="00C755D3" w:rsidRDefault="00FC56EC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C755D3">
              <w:rPr>
                <w:rFonts w:ascii="Cambria" w:hAnsi="Cambria" w:cs="Arial"/>
                <w:sz w:val="16"/>
                <w:szCs w:val="16"/>
                <w:lang w:val="uk-UA" w:eastAsia="it-IT"/>
              </w:rPr>
              <w:t>- Створено туристичний сайт Володимир-Волинської міської територіальної громади</w:t>
            </w:r>
          </w:p>
          <w:p w:rsidR="00FC56EC" w:rsidRPr="00C755D3" w:rsidRDefault="00FC56EC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C755D3">
              <w:rPr>
                <w:rFonts w:ascii="Cambria" w:hAnsi="Cambria" w:cs="Arial"/>
                <w:sz w:val="16"/>
                <w:szCs w:val="16"/>
                <w:lang w:val="uk-UA" w:eastAsia="it-IT"/>
              </w:rPr>
              <w:t>- Наповнено сайт туристичною інформацією</w:t>
            </w:r>
          </w:p>
          <w:p w:rsidR="00FC56EC" w:rsidRPr="00C755D3" w:rsidRDefault="00FC56EC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C755D3">
              <w:rPr>
                <w:rFonts w:ascii="Cambria" w:hAnsi="Cambria" w:cs="Arial"/>
                <w:sz w:val="16"/>
                <w:szCs w:val="16"/>
                <w:lang w:val="uk-UA" w:eastAsia="it-IT"/>
              </w:rPr>
              <w:t>- Полегшено пошук туристичної інформації для потенційного туриста, в т. ч. іноземного</w:t>
            </w:r>
          </w:p>
          <w:p w:rsidR="00FC56EC" w:rsidRPr="00FC56EC" w:rsidRDefault="00FC56EC" w:rsidP="000B0B74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 w:rsidRPr="00C755D3">
              <w:rPr>
                <w:rFonts w:ascii="Cambria" w:hAnsi="Cambria" w:cs="Arial"/>
                <w:sz w:val="16"/>
                <w:szCs w:val="16"/>
                <w:lang w:val="uk-UA" w:eastAsia="it-IT"/>
              </w:rPr>
              <w:t>- Підвищено туристичну привабливість громади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DC7FFA" w:rsidRDefault="00DC7FFA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- Створення робочої групи для розробки технічного завдання </w:t>
            </w:r>
          </w:p>
          <w:p w:rsidR="000B0B74" w:rsidRDefault="00DC7FFA" w:rsidP="00DC7FFA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- Закупівля послуги по створенню сайту в через систему «Прозоро» </w:t>
            </w:r>
          </w:p>
          <w:p w:rsidR="00DC7FFA" w:rsidRDefault="00DC7FFA" w:rsidP="00DC7FFA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- Розробка та наповнення сайту </w:t>
            </w:r>
          </w:p>
          <w:p w:rsidR="00DC7FFA" w:rsidRDefault="00DC7FFA" w:rsidP="00DC7FFA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- Просування сайту</w:t>
            </w:r>
          </w:p>
          <w:p w:rsidR="00DC7FFA" w:rsidRPr="008D08AC" w:rsidRDefault="00C755D3" w:rsidP="00DC7FFA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- Обслуговування сайту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594819" w:rsidRDefault="000B0B74" w:rsidP="00B421A7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20</w:t>
            </w:r>
            <w:r w:rsidR="005F274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421A7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1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– 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421A7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4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B421A7" w:rsidRPr="00594819" w:rsidTr="00B421A7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B421A7" w:rsidRPr="00594819" w:rsidRDefault="00B421A7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21A7" w:rsidRPr="005F274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21A7" w:rsidRPr="005F274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0B0B7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B421A7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594819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B421A7" w:rsidRPr="00594819" w:rsidTr="00B421A7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B421A7" w:rsidRPr="00594819" w:rsidRDefault="00B421A7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B421A7" w:rsidRPr="0062362B" w:rsidRDefault="007B3860" w:rsidP="007B386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60 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21A7" w:rsidRPr="00A62100" w:rsidRDefault="007B3860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21A7" w:rsidRPr="00A62100" w:rsidRDefault="007B3860" w:rsidP="007B386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21A7" w:rsidRPr="00965359" w:rsidRDefault="007B3860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21A7" w:rsidRPr="00965359" w:rsidRDefault="007B3860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84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7B3860" w:rsidRDefault="007B3860" w:rsidP="00F9527D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Кошти міс</w:t>
            </w:r>
            <w:r w:rsidR="00F9527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цев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ого бюджету</w:t>
            </w:r>
            <w:r w:rsidR="00DC7FFA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, грантові кошти та інші кошти незаборонені чинним законодавством України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766F6D" w:rsidRDefault="007B3860" w:rsidP="00E35B46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КП «Туристично-інформаційний центр</w:t>
            </w:r>
            <w:r w:rsidR="00FC56EC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Володимир-Волинської міської ради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»</w:t>
            </w:r>
            <w:r w:rsidR="00766F6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, відділ </w:t>
            </w:r>
            <w:r w:rsidR="00E35B46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міжнародної діяльності та туризму виконавчого комітету міської ради, підрядні організації</w:t>
            </w:r>
            <w:r w:rsidR="00766F6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B0B74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Pr="00594819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Default="00EF04E8" w:rsidP="00EF04E8"/>
    <w:p w:rsidR="00EF04E8" w:rsidRDefault="00EF04E8" w:rsidP="00EF04E8">
      <w:pPr>
        <w:jc w:val="both"/>
        <w:rPr>
          <w:rFonts w:cs="Arial"/>
          <w:lang w:val="uk-UA"/>
        </w:rPr>
      </w:pPr>
    </w:p>
    <w:p w:rsidR="00EF04E8" w:rsidRDefault="00EF04E8" w:rsidP="00EF04E8"/>
    <w:p w:rsidR="00EF04E8" w:rsidRDefault="00EF04E8" w:rsidP="00607B70">
      <w:pPr>
        <w:jc w:val="right"/>
      </w:pPr>
      <w:r>
        <w:br w:type="page"/>
      </w:r>
      <w:r w:rsidR="00607B70">
        <w:lastRenderedPageBreak/>
        <w:t xml:space="preserve"> </w:t>
      </w:r>
    </w:p>
    <w:p w:rsidR="00EF04E8" w:rsidRDefault="00EF04E8" w:rsidP="00EF04E8"/>
    <w:sectPr w:rsidR="00EF04E8" w:rsidSect="009D14D9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614265"/>
    <w:multiLevelType w:val="hybridMultilevel"/>
    <w:tmpl w:val="6D467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6038B"/>
    <w:rsid w:val="00061741"/>
    <w:rsid w:val="00094402"/>
    <w:rsid w:val="00096384"/>
    <w:rsid w:val="000B0B74"/>
    <w:rsid w:val="000D0A38"/>
    <w:rsid w:val="000E6B52"/>
    <w:rsid w:val="00106C2E"/>
    <w:rsid w:val="00107A0F"/>
    <w:rsid w:val="001468F6"/>
    <w:rsid w:val="00162A54"/>
    <w:rsid w:val="00163664"/>
    <w:rsid w:val="001649DB"/>
    <w:rsid w:val="001B4568"/>
    <w:rsid w:val="001E0435"/>
    <w:rsid w:val="00250BF5"/>
    <w:rsid w:val="00276025"/>
    <w:rsid w:val="002B694B"/>
    <w:rsid w:val="002D3C88"/>
    <w:rsid w:val="002F1311"/>
    <w:rsid w:val="002F7111"/>
    <w:rsid w:val="0033590B"/>
    <w:rsid w:val="003934CE"/>
    <w:rsid w:val="003C46EC"/>
    <w:rsid w:val="00404D5F"/>
    <w:rsid w:val="00416F05"/>
    <w:rsid w:val="00427AAA"/>
    <w:rsid w:val="00441BAC"/>
    <w:rsid w:val="00454F61"/>
    <w:rsid w:val="004C4A68"/>
    <w:rsid w:val="004D29F3"/>
    <w:rsid w:val="00553DAD"/>
    <w:rsid w:val="00593E43"/>
    <w:rsid w:val="005B7414"/>
    <w:rsid w:val="005C2249"/>
    <w:rsid w:val="005C6DFF"/>
    <w:rsid w:val="005D1AC2"/>
    <w:rsid w:val="005F2744"/>
    <w:rsid w:val="0060684E"/>
    <w:rsid w:val="00607B70"/>
    <w:rsid w:val="006138E4"/>
    <w:rsid w:val="0062362B"/>
    <w:rsid w:val="00651CD8"/>
    <w:rsid w:val="00680037"/>
    <w:rsid w:val="00691971"/>
    <w:rsid w:val="006B0D57"/>
    <w:rsid w:val="00766F6D"/>
    <w:rsid w:val="007969F3"/>
    <w:rsid w:val="007A4F1E"/>
    <w:rsid w:val="007B3860"/>
    <w:rsid w:val="008122C0"/>
    <w:rsid w:val="008753C7"/>
    <w:rsid w:val="008A0587"/>
    <w:rsid w:val="008C5F23"/>
    <w:rsid w:val="008F35C8"/>
    <w:rsid w:val="009213AB"/>
    <w:rsid w:val="00965359"/>
    <w:rsid w:val="00970F83"/>
    <w:rsid w:val="00997499"/>
    <w:rsid w:val="009D14D9"/>
    <w:rsid w:val="00A62100"/>
    <w:rsid w:val="00A74D14"/>
    <w:rsid w:val="00A75E77"/>
    <w:rsid w:val="00A909A5"/>
    <w:rsid w:val="00A93EED"/>
    <w:rsid w:val="00AA3BE4"/>
    <w:rsid w:val="00B421A7"/>
    <w:rsid w:val="00B5135D"/>
    <w:rsid w:val="00B839AD"/>
    <w:rsid w:val="00BD6A3B"/>
    <w:rsid w:val="00BF48E4"/>
    <w:rsid w:val="00C014F0"/>
    <w:rsid w:val="00C221F1"/>
    <w:rsid w:val="00C2613A"/>
    <w:rsid w:val="00C755D3"/>
    <w:rsid w:val="00C832D7"/>
    <w:rsid w:val="00C85C98"/>
    <w:rsid w:val="00CA7827"/>
    <w:rsid w:val="00CB7D3E"/>
    <w:rsid w:val="00CC355E"/>
    <w:rsid w:val="00CC5877"/>
    <w:rsid w:val="00CC5BC9"/>
    <w:rsid w:val="00CD08FE"/>
    <w:rsid w:val="00CD3793"/>
    <w:rsid w:val="00D0608E"/>
    <w:rsid w:val="00D7544C"/>
    <w:rsid w:val="00DC7FFA"/>
    <w:rsid w:val="00E1009E"/>
    <w:rsid w:val="00E35B46"/>
    <w:rsid w:val="00E557B7"/>
    <w:rsid w:val="00E61A94"/>
    <w:rsid w:val="00EF04E8"/>
    <w:rsid w:val="00F07F69"/>
    <w:rsid w:val="00F7115B"/>
    <w:rsid w:val="00F9527D"/>
    <w:rsid w:val="00FA2BE6"/>
    <w:rsid w:val="00FC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B42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ЗБІР ІДЕЙ ПРОЕКТІВ</vt:lpstr>
    </vt:vector>
  </TitlesOfParts>
  <Company>diakov.net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7</cp:revision>
  <cp:lastPrinted>2021-03-09T06:37:00Z</cp:lastPrinted>
  <dcterms:created xsi:type="dcterms:W3CDTF">2021-03-23T07:21:00Z</dcterms:created>
  <dcterms:modified xsi:type="dcterms:W3CDTF">2021-04-15T12:19:00Z</dcterms:modified>
</cp:coreProperties>
</file>