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47" w:rsidRPr="003653BC" w:rsidRDefault="00F07747" w:rsidP="00F07747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Форма технічного завдання на проєкт місцевого розвитку</w:t>
      </w:r>
    </w:p>
    <w:p w:rsidR="00F07747" w:rsidRPr="003653BC" w:rsidRDefault="00F07747" w:rsidP="00F07747">
      <w:pPr>
        <w:jc w:val="center"/>
        <w:rPr>
          <w:b/>
          <w:color w:val="000000"/>
          <w:lang w:val="uk-UA"/>
        </w:rPr>
      </w:pPr>
      <w:r w:rsidRPr="003653BC">
        <w:rPr>
          <w:b/>
          <w:color w:val="000000"/>
          <w:lang w:val="uk-UA"/>
        </w:rPr>
        <w:t>до Плану реалізації Стратегії</w:t>
      </w:r>
    </w:p>
    <w:tbl>
      <w:tblPr>
        <w:tblW w:w="100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1132"/>
        <w:gridCol w:w="1132"/>
        <w:gridCol w:w="1133"/>
        <w:gridCol w:w="1114"/>
        <w:gridCol w:w="2639"/>
      </w:tblGrid>
      <w:tr w:rsidR="00F07747" w:rsidRPr="003653BC" w:rsidTr="0094448D">
        <w:trPr>
          <w:jc w:val="right"/>
        </w:trPr>
        <w:tc>
          <w:tcPr>
            <w:tcW w:w="2880" w:type="dxa"/>
          </w:tcPr>
          <w:p w:rsidR="00F07747" w:rsidRPr="003653BC" w:rsidRDefault="00F07747" w:rsidP="0094448D">
            <w:pPr>
              <w:spacing w:before="40" w:after="40"/>
              <w:rPr>
                <w:b/>
                <w:bCs/>
                <w:lang w:val="uk-UA"/>
              </w:rPr>
            </w:pPr>
            <w:r w:rsidRPr="003653BC">
              <w:rPr>
                <w:b/>
                <w:bCs/>
                <w:lang w:val="uk-UA"/>
              </w:rPr>
              <w:t>Ваші контакти:</w:t>
            </w:r>
            <w:r w:rsidRPr="003653BC">
              <w:rPr>
                <w:b/>
                <w:bCs/>
                <w:lang w:val="uk-UA"/>
              </w:rPr>
              <w:br/>
            </w:r>
            <w:r w:rsidRPr="003653BC">
              <w:rPr>
                <w:lang w:val="uk-UA" w:eastAsia="it-IT"/>
              </w:rPr>
              <w:t>Прізвище Ім’я По-батькові: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Радкевич Сергій Леонідович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Align w:val="center"/>
          </w:tcPr>
          <w:p w:rsidR="00F07747" w:rsidRPr="003653BC" w:rsidRDefault="00F07747" w:rsidP="0094448D">
            <w:pPr>
              <w:pStyle w:val="6"/>
              <w:spacing w:before="0" w:after="0"/>
              <w:rPr>
                <w:color w:val="000000"/>
                <w:sz w:val="24"/>
                <w:szCs w:val="24"/>
                <w:lang w:val="uk-UA"/>
              </w:rPr>
            </w:pPr>
            <w:r w:rsidRPr="003653BC">
              <w:rPr>
                <w:color w:val="000000"/>
                <w:sz w:val="24"/>
                <w:szCs w:val="24"/>
                <w:lang w:val="uk-UA"/>
              </w:rPr>
              <w:t>Завдання Стратегії, якому  відповідає проєкт: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pBdr>
                <w:left w:val="single" w:sz="18" w:space="4" w:color="auto"/>
              </w:pBdr>
              <w:spacing w:before="40" w:after="40"/>
              <w:rPr>
                <w:lang w:val="uk-UA" w:eastAsia="it-IT"/>
              </w:rPr>
            </w:pPr>
            <w:r w:rsidRPr="00B64417">
              <w:rPr>
                <w:sz w:val="20"/>
                <w:szCs w:val="20"/>
              </w:rPr>
              <w:t>1.1.1. Формування та просування інвестиційних продуктів  міста  на міжнародних та вітчизняних інвестиційних ринках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Назва проєкту: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rPr>
                <w:b/>
                <w:lang w:val="uk-UA"/>
              </w:rPr>
            </w:pPr>
            <w:r w:rsidRPr="003653BC">
              <w:rPr>
                <w:b/>
                <w:lang w:val="uk-UA"/>
              </w:rPr>
              <w:t xml:space="preserve">Створення та функціонування індустріального парку </w:t>
            </w:r>
          </w:p>
          <w:p w:rsidR="00F07747" w:rsidRPr="003653BC" w:rsidRDefault="00F07747" w:rsidP="0094448D">
            <w:pPr>
              <w:rPr>
                <w:b/>
                <w:lang w:val="uk-UA"/>
              </w:rPr>
            </w:pPr>
            <w:r w:rsidRPr="003653BC">
              <w:rPr>
                <w:b/>
                <w:lang w:val="uk-UA"/>
              </w:rPr>
              <w:t>« Сухий Порт ВОЛОДИМИР»</w:t>
            </w:r>
          </w:p>
        </w:tc>
      </w:tr>
      <w:tr w:rsidR="00F07747" w:rsidRPr="003653BC" w:rsidTr="0094448D">
        <w:trPr>
          <w:trHeight w:val="1250"/>
          <w:jc w:val="right"/>
        </w:trPr>
        <w:tc>
          <w:tcPr>
            <w:tcW w:w="2880" w:type="dxa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Цілі проєкту: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підвищення іміджу Володимир-Волинської ТГ як надійного партнера;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покращення інвестиційного клімату;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підвищення рівня ділової активності бізнес-середовища,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>- підтримка та сприяння розвитку малого та середнього підприємництва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Align w:val="center"/>
          </w:tcPr>
          <w:p w:rsidR="00F07747" w:rsidRPr="003653BC" w:rsidRDefault="00F07747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Територія, на яку проєкт матиме вплив: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 громада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Align w:val="center"/>
          </w:tcPr>
          <w:p w:rsidR="00F07747" w:rsidRPr="003653BC" w:rsidRDefault="00F07747" w:rsidP="0094448D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Орієнтовна кількість отримувачів   вигод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 w:eastAsia="it-IT"/>
              </w:rPr>
              <w:t>Володимир-Волинська міська територіальна  громада</w:t>
            </w:r>
            <w:r w:rsidRPr="003653BC">
              <w:rPr>
                <w:lang w:val="uk-UA"/>
              </w:rPr>
              <w:t xml:space="preserve"> та прилеглі громади - орієнтовно 70 000 осіб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Стислий опис проєкту: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spacing w:before="40" w:after="40"/>
              <w:rPr>
                <w:lang w:val="uk-UA" w:eastAsia="it-IT"/>
              </w:rPr>
            </w:pPr>
            <w:r w:rsidRPr="003653BC">
              <w:rPr>
                <w:lang w:val="uk-UA"/>
              </w:rPr>
              <w:t>Індустріальний парк  "Сухий порт Володимир" планується створити в безпосередній близькості біля кордону з Польщею, яка є одним з найважливіших економічних партнерів України. Функціональне призначення Індустріального парку полягає у розбудові сучасного виробничо-промислового комплексу з розвиненою інженерно-технічною та транспортною інфраструктурою, логістично-складськими, адміністративними приміщеннями та комплексом супутніх послуг, які будуть використовуватися учасниками парку (інвесторами) для створення і розвитку промислового виробництва.</w:t>
            </w:r>
          </w:p>
        </w:tc>
      </w:tr>
      <w:tr w:rsidR="00F07747" w:rsidRPr="00F07747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Очікувані результати:</w:t>
            </w:r>
          </w:p>
        </w:tc>
        <w:tc>
          <w:tcPr>
            <w:tcW w:w="7150" w:type="dxa"/>
            <w:gridSpan w:val="5"/>
            <w:shd w:val="clear" w:color="auto" w:fill="FFFFFF"/>
          </w:tcPr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підвищено соціальні стандарти для населення шляхом: створення нових робочих місць та зменшення рівня безробіття;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створено екологічно чисті промислові підприємства;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знижено показники трудової міграції населення ТГ;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збільшено надходження до бюджетів усіх рівнів; </w:t>
            </w:r>
          </w:p>
          <w:p w:rsidR="00F07747" w:rsidRPr="003653BC" w:rsidRDefault="00F07747" w:rsidP="0094448D">
            <w:pPr>
              <w:rPr>
                <w:lang w:val="uk-UA" w:eastAsia="it-IT"/>
              </w:rPr>
            </w:pPr>
            <w:r w:rsidRPr="003653BC">
              <w:rPr>
                <w:lang w:val="uk-UA"/>
              </w:rPr>
              <w:t>-  збільшено обсяги зовнішньо-економічної діяльності.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Ключові заходи проєкту:</w:t>
            </w:r>
          </w:p>
        </w:tc>
        <w:tc>
          <w:tcPr>
            <w:tcW w:w="7150" w:type="dxa"/>
            <w:gridSpan w:val="5"/>
          </w:tcPr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прийняття ініціатором рішення (концепції) про створення Індустріального парку "Сухий парк Володимир" та визначення умов конкурсу з вибору керуючої компанії;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укладення договору про створення та функціонування Індустріального парку між ініціатором створення та керуючою компанією;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включення Індустріального парку до Реєстру індустріальних парків;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розроблення та реалізації бізнес-плану Індустріального парку;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розроблення та затвердження проектів та схем розміщення об’єктів на території індустріального парку;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визначення умов і вимог до учасників Індустріального парку;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розроблення та реалізації стратегічних та поточних управлінських рішень зі створення та функціонування Індустріального парку; </w:t>
            </w:r>
          </w:p>
          <w:p w:rsidR="00F07747" w:rsidRPr="003653BC" w:rsidRDefault="00F07747" w:rsidP="0094448D">
            <w:pPr>
              <w:rPr>
                <w:lang w:val="uk-UA"/>
              </w:rPr>
            </w:pPr>
            <w:r w:rsidRPr="003653BC">
              <w:rPr>
                <w:lang w:val="uk-UA"/>
              </w:rPr>
              <w:t xml:space="preserve">- формування єдиного підходу ініціатора та керуючої компанії до </w:t>
            </w:r>
            <w:r w:rsidRPr="003653BC">
              <w:rPr>
                <w:lang w:val="uk-UA"/>
              </w:rPr>
              <w:lastRenderedPageBreak/>
              <w:t>питань, що стосуються забудови Індустріального парку та його розвитку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lastRenderedPageBreak/>
              <w:t xml:space="preserve">Період здійснення: </w:t>
            </w:r>
          </w:p>
        </w:tc>
        <w:tc>
          <w:tcPr>
            <w:tcW w:w="7150" w:type="dxa"/>
            <w:gridSpan w:val="5"/>
            <w:vAlign w:val="center"/>
          </w:tcPr>
          <w:p w:rsidR="00F07747" w:rsidRPr="003653BC" w:rsidRDefault="00F07747" w:rsidP="0094448D">
            <w:pPr>
              <w:rPr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/>
              </w:rPr>
              <w:t>2021 – 2024 роки: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Merge w:val="restart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Орієнтовна вартість проекту, тис. грн.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2021</w:t>
            </w:r>
          </w:p>
        </w:tc>
        <w:tc>
          <w:tcPr>
            <w:tcW w:w="1132" w:type="dxa"/>
            <w:shd w:val="clear" w:color="auto" w:fill="E6E6E6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2022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2023</w:t>
            </w:r>
          </w:p>
        </w:tc>
        <w:tc>
          <w:tcPr>
            <w:tcW w:w="1114" w:type="dxa"/>
            <w:shd w:val="clear" w:color="auto" w:fill="E6E6E6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2024</w:t>
            </w:r>
          </w:p>
        </w:tc>
        <w:tc>
          <w:tcPr>
            <w:tcW w:w="2639" w:type="dxa"/>
            <w:shd w:val="clear" w:color="auto" w:fill="E6E6E6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Разом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vMerge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2" w:type="dxa"/>
            <w:vAlign w:val="center"/>
          </w:tcPr>
          <w:p w:rsidR="00F07747" w:rsidRPr="003653BC" w:rsidRDefault="00F07747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</w:t>
            </w:r>
          </w:p>
        </w:tc>
        <w:tc>
          <w:tcPr>
            <w:tcW w:w="1133" w:type="dxa"/>
            <w:vAlign w:val="center"/>
          </w:tcPr>
          <w:p w:rsidR="00F07747" w:rsidRPr="003653BC" w:rsidRDefault="00F07747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</w:t>
            </w:r>
          </w:p>
        </w:tc>
        <w:tc>
          <w:tcPr>
            <w:tcW w:w="1114" w:type="dxa"/>
            <w:vAlign w:val="center"/>
          </w:tcPr>
          <w:p w:rsidR="00F07747" w:rsidRPr="003653BC" w:rsidRDefault="00F07747" w:rsidP="0094448D">
            <w:pPr>
              <w:jc w:val="center"/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 w:eastAsia="it-IT"/>
              </w:rPr>
              <w:t>500</w:t>
            </w:r>
          </w:p>
        </w:tc>
        <w:tc>
          <w:tcPr>
            <w:tcW w:w="2639" w:type="dxa"/>
            <w:vAlign w:val="center"/>
          </w:tcPr>
          <w:p w:rsidR="00F07747" w:rsidRPr="003653BC" w:rsidRDefault="00F07747" w:rsidP="0094448D">
            <w:pPr>
              <w:jc w:val="center"/>
              <w:rPr>
                <w:b/>
                <w:color w:val="000000"/>
                <w:lang w:val="uk-UA" w:eastAsia="it-IT"/>
              </w:rPr>
            </w:pPr>
            <w:r w:rsidRPr="003653BC">
              <w:rPr>
                <w:b/>
                <w:color w:val="000000"/>
                <w:lang w:val="uk-UA" w:eastAsia="it-IT"/>
              </w:rPr>
              <w:t>2000</w:t>
            </w:r>
          </w:p>
        </w:tc>
      </w:tr>
      <w:tr w:rsidR="00F07747" w:rsidRPr="003653BC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bCs/>
                <w:color w:val="000000"/>
                <w:lang w:val="uk-UA"/>
              </w:rPr>
              <w:t>Джерела фінансування:</w:t>
            </w:r>
          </w:p>
        </w:tc>
        <w:tc>
          <w:tcPr>
            <w:tcW w:w="7150" w:type="dxa"/>
            <w:gridSpan w:val="5"/>
            <w:vAlign w:val="center"/>
          </w:tcPr>
          <w:p w:rsidR="00F07747" w:rsidRPr="003653BC" w:rsidRDefault="00F07747" w:rsidP="0094448D">
            <w:pPr>
              <w:jc w:val="both"/>
              <w:rPr>
                <w:color w:val="000000"/>
                <w:lang w:val="uk-UA" w:eastAsia="it-IT"/>
              </w:rPr>
            </w:pPr>
            <w:r w:rsidRPr="003653BC">
              <w:rPr>
                <w:lang w:val="uk-UA" w:eastAsia="it-IT"/>
              </w:rPr>
              <w:t>Кошти міського, обласного та державного  бюджетів, інші залучені кошти, незаборонені чинним законодавством</w:t>
            </w:r>
          </w:p>
        </w:tc>
      </w:tr>
      <w:tr w:rsidR="00F07747" w:rsidRPr="00F07747" w:rsidTr="0094448D">
        <w:trPr>
          <w:jc w:val="right"/>
        </w:trPr>
        <w:tc>
          <w:tcPr>
            <w:tcW w:w="2880" w:type="dxa"/>
            <w:shd w:val="clear" w:color="auto" w:fill="FFFFFF"/>
            <w:vAlign w:val="center"/>
          </w:tcPr>
          <w:p w:rsidR="00F07747" w:rsidRPr="003653BC" w:rsidRDefault="00F07747" w:rsidP="0094448D">
            <w:pPr>
              <w:rPr>
                <w:b/>
                <w:bCs/>
                <w:color w:val="000000"/>
                <w:lang w:val="uk-UA"/>
              </w:rPr>
            </w:pPr>
            <w:r w:rsidRPr="003653BC">
              <w:rPr>
                <w:b/>
                <w:color w:val="000000"/>
                <w:lang w:val="uk-UA"/>
              </w:rPr>
              <w:t>Ключові потенційні учасники  реалізації проєкту:</w:t>
            </w:r>
          </w:p>
        </w:tc>
        <w:tc>
          <w:tcPr>
            <w:tcW w:w="7150" w:type="dxa"/>
            <w:gridSpan w:val="5"/>
            <w:vAlign w:val="center"/>
          </w:tcPr>
          <w:p w:rsidR="00F07747" w:rsidRPr="003653BC" w:rsidRDefault="00F07747" w:rsidP="0094448D">
            <w:pPr>
              <w:rPr>
                <w:color w:val="000000"/>
                <w:lang w:val="uk-UA" w:eastAsia="it-IT"/>
              </w:rPr>
            </w:pPr>
            <w:r w:rsidRPr="003653BC">
              <w:rPr>
                <w:color w:val="000000"/>
                <w:lang w:val="uk-UA"/>
              </w:rPr>
              <w:t>Відділ  економічного розвитку, проєктної діяльності та інвестицій виконавчого комітету міської ради, управління інфраструктури виконавчого комітету міської ради</w:t>
            </w:r>
            <w:r w:rsidRPr="003653BC">
              <w:rPr>
                <w:lang w:val="uk-UA"/>
              </w:rPr>
              <w:t xml:space="preserve"> , управління містобудування, архітектури та комунальних ресурсів виконавчого комітету міської ради, КП "Полігон", підрядні організації</w:t>
            </w:r>
          </w:p>
        </w:tc>
      </w:tr>
    </w:tbl>
    <w:p w:rsidR="00F07747" w:rsidRPr="003653BC" w:rsidRDefault="00F07747" w:rsidP="00F07747">
      <w:pPr>
        <w:rPr>
          <w:lang w:val="uk-UA"/>
        </w:rPr>
      </w:pPr>
    </w:p>
    <w:p w:rsidR="00F07747" w:rsidRPr="003653BC" w:rsidRDefault="00F07747" w:rsidP="00F07747">
      <w:pPr>
        <w:rPr>
          <w:lang w:val="uk-UA"/>
        </w:rPr>
      </w:pPr>
    </w:p>
    <w:p w:rsidR="00F07747" w:rsidRPr="003653BC" w:rsidRDefault="00F07747" w:rsidP="00F07747">
      <w:pPr>
        <w:rPr>
          <w:lang w:val="uk-UA"/>
        </w:rPr>
      </w:pPr>
    </w:p>
    <w:p w:rsidR="00D83F0E" w:rsidRPr="00F07747" w:rsidRDefault="00D83F0E">
      <w:pPr>
        <w:rPr>
          <w:lang w:val="uk-UA"/>
        </w:rPr>
      </w:pPr>
    </w:p>
    <w:sectPr w:rsidR="00D83F0E" w:rsidRPr="00F07747" w:rsidSect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07747"/>
    <w:rsid w:val="0020044F"/>
    <w:rsid w:val="004935E7"/>
    <w:rsid w:val="00D83F0E"/>
    <w:rsid w:val="00F0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4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0774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07747"/>
    <w:rPr>
      <w:rFonts w:ascii="Times New Roman" w:eastAsia="MS Mincho" w:hAnsi="Times New Roman" w:cs="Times New Roman"/>
      <w:b/>
      <w:bCs/>
      <w:lang w:val="en-US"/>
    </w:rPr>
  </w:style>
  <w:style w:type="character" w:styleId="a3">
    <w:name w:val="Hyperlink"/>
    <w:basedOn w:val="a0"/>
    <w:uiPriority w:val="99"/>
    <w:semiHidden/>
    <w:unhideWhenUsed/>
    <w:rsid w:val="00F07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Subitska</cp:lastModifiedBy>
  <cp:revision>3</cp:revision>
  <dcterms:created xsi:type="dcterms:W3CDTF">2021-04-15T08:58:00Z</dcterms:created>
  <dcterms:modified xsi:type="dcterms:W3CDTF">2021-04-15T12:17:00Z</dcterms:modified>
</cp:coreProperties>
</file>