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51" w:rsidRDefault="00732551" w:rsidP="00732551">
      <w:pPr>
        <w:pStyle w:val="Style4"/>
        <w:widowControl/>
        <w:spacing w:before="82" w:line="322" w:lineRule="exact"/>
        <w:ind w:left="485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І. Питання на перевірку знання Конституції України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Основні розділи Конституції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Основні риси Української </w:t>
      </w:r>
      <w:r w:rsidR="00CC0E17">
        <w:rPr>
          <w:rStyle w:val="FontStyle18"/>
          <w:sz w:val="28"/>
          <w:szCs w:val="28"/>
        </w:rPr>
        <w:t>держави за Конституцією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Форма правління в Україні.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Визнання найви</w:t>
      </w:r>
      <w:r w:rsidR="00CC0E17">
        <w:rPr>
          <w:rStyle w:val="FontStyle18"/>
          <w:sz w:val="28"/>
          <w:szCs w:val="28"/>
        </w:rPr>
        <w:t>щої соціальної цінності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605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Конституційний статус державної мови та мов національних меншин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Об'єкти права власності Українського народу.</w:t>
      </w:r>
    </w:p>
    <w:p w:rsidR="00732551" w:rsidRDefault="00CC0E17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Найважливіші функції держави.</w:t>
      </w:r>
    </w:p>
    <w:p w:rsidR="00732551" w:rsidRDefault="00CC0E17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Державні символи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610"/>
        </w:tabs>
      </w:pPr>
      <w:r>
        <w:rPr>
          <w:rStyle w:val="FontStyle18"/>
          <w:sz w:val="28"/>
          <w:szCs w:val="28"/>
        </w:rPr>
        <w:t>Конституційне право на працю</w:t>
      </w:r>
      <w:r w:rsidR="00CC0E17">
        <w:rPr>
          <w:rStyle w:val="FontStyle18"/>
          <w:sz w:val="28"/>
          <w:szCs w:val="28"/>
        </w:rPr>
        <w:t>.</w:t>
      </w:r>
    </w:p>
    <w:p w:rsidR="00732551" w:rsidRDefault="00CC0E17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Конституційне право на освіту.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Конституц</w:t>
      </w:r>
      <w:r w:rsidR="00CC0E17">
        <w:rPr>
          <w:rStyle w:val="FontStyle18"/>
          <w:sz w:val="28"/>
          <w:szCs w:val="28"/>
        </w:rPr>
        <w:t>ійне право на соціальний захист.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Конститу</w:t>
      </w:r>
      <w:r w:rsidR="00CC0E17">
        <w:rPr>
          <w:rStyle w:val="FontStyle18"/>
          <w:sz w:val="28"/>
          <w:szCs w:val="28"/>
        </w:rPr>
        <w:t>ційне право на охорону здоров'я.</w:t>
      </w:r>
    </w:p>
    <w:p w:rsidR="00732551" w:rsidRDefault="00CC0E17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Обов'язки громадянина України.</w:t>
      </w:r>
    </w:p>
    <w:p w:rsidR="00732551" w:rsidRPr="00647AED" w:rsidRDefault="00732551" w:rsidP="00647AED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Прав</w:t>
      </w:r>
      <w:r w:rsidR="00CC0E17">
        <w:rPr>
          <w:rStyle w:val="FontStyle18"/>
          <w:sz w:val="28"/>
          <w:szCs w:val="28"/>
        </w:rPr>
        <w:t>о громадянина України на вибори.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Питання, правове регулювання яких визначається та встановлюється                        </w:t>
      </w:r>
      <w:r w:rsidR="00CC0E17">
        <w:rPr>
          <w:rStyle w:val="FontStyle18"/>
          <w:sz w:val="28"/>
          <w:szCs w:val="28"/>
        </w:rPr>
        <w:t xml:space="preserve">      виключно законами України.</w:t>
      </w:r>
    </w:p>
    <w:p w:rsidR="00732551" w:rsidRDefault="00CC0E17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Державний бюджет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Пор</w:t>
      </w:r>
      <w:r w:rsidR="00CC0E17">
        <w:rPr>
          <w:rStyle w:val="FontStyle18"/>
          <w:sz w:val="28"/>
          <w:szCs w:val="28"/>
        </w:rPr>
        <w:t>ядок обрання Президента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Повноваження Президента Украї</w:t>
      </w:r>
      <w:r w:rsidR="00CC0E17">
        <w:rPr>
          <w:rStyle w:val="FontStyle18"/>
          <w:sz w:val="28"/>
          <w:szCs w:val="28"/>
        </w:rPr>
        <w:t>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Склад Кабінету Міністрів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Повноваж</w:t>
      </w:r>
      <w:r w:rsidR="00CC0E17">
        <w:rPr>
          <w:rStyle w:val="FontStyle18"/>
          <w:sz w:val="28"/>
          <w:szCs w:val="28"/>
        </w:rPr>
        <w:t>ення Кабінету Міністрів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Повноваження мі</w:t>
      </w:r>
      <w:r w:rsidR="00CC0E17">
        <w:rPr>
          <w:rStyle w:val="FontStyle18"/>
          <w:sz w:val="28"/>
          <w:szCs w:val="28"/>
        </w:rPr>
        <w:t>сцевих державних адміністрацій.</w:t>
      </w:r>
    </w:p>
    <w:p w:rsidR="00732551" w:rsidRPr="00CC0E17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spacing w:before="5"/>
        <w:ind w:right="1037"/>
        <w:rPr>
          <w:rStyle w:val="FontStyle18"/>
          <w:sz w:val="28"/>
          <w:szCs w:val="28"/>
        </w:rPr>
      </w:pPr>
      <w:r w:rsidRPr="00CC0E17">
        <w:rPr>
          <w:rStyle w:val="FontStyle18"/>
          <w:sz w:val="28"/>
          <w:szCs w:val="28"/>
        </w:rPr>
        <w:t>Система адміністративно</w:t>
      </w:r>
      <w:r w:rsidR="00CC0E17">
        <w:rPr>
          <w:rStyle w:val="FontStyle18"/>
          <w:sz w:val="28"/>
          <w:szCs w:val="28"/>
        </w:rPr>
        <w:t>-територіального устрою України.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Органи міс</w:t>
      </w:r>
      <w:r w:rsidR="00CC0E17">
        <w:rPr>
          <w:rStyle w:val="FontStyle18"/>
          <w:sz w:val="28"/>
          <w:szCs w:val="28"/>
        </w:rPr>
        <w:t>цевого самоврядування в Україні.</w:t>
      </w:r>
    </w:p>
    <w:p w:rsidR="00732551" w:rsidRDefault="00732551" w:rsidP="00732551">
      <w:pPr>
        <w:pStyle w:val="Style5"/>
        <w:widowControl/>
        <w:numPr>
          <w:ilvl w:val="0"/>
          <w:numId w:val="1"/>
        </w:numPr>
        <w:tabs>
          <w:tab w:val="left" w:pos="725"/>
        </w:tabs>
        <w:spacing w:before="67" w:line="331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Повноваження територіальних громад за Конституцією України.</w:t>
      </w:r>
    </w:p>
    <w:p w:rsidR="00732551" w:rsidRDefault="00732551" w:rsidP="00732551">
      <w:pPr>
        <w:pStyle w:val="Style7"/>
        <w:widowControl/>
        <w:spacing w:line="240" w:lineRule="exact"/>
        <w:jc w:val="both"/>
      </w:pPr>
    </w:p>
    <w:p w:rsidR="00732551" w:rsidRDefault="00732551" w:rsidP="00732551">
      <w:pPr>
        <w:pStyle w:val="Style7"/>
        <w:widowControl/>
        <w:tabs>
          <w:tab w:val="left" w:pos="1018"/>
        </w:tabs>
        <w:spacing w:before="29" w:line="322" w:lineRule="exact"/>
        <w:jc w:val="center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>II.</w:t>
      </w:r>
      <w:r>
        <w:rPr>
          <w:rStyle w:val="FontStyle18"/>
          <w:b/>
          <w:sz w:val="28"/>
          <w:szCs w:val="28"/>
        </w:rPr>
        <w:tab/>
        <w:t xml:space="preserve"> Питання на перевірку знання Законів України "Про місцеве</w:t>
      </w:r>
      <w:r>
        <w:rPr>
          <w:rStyle w:val="FontStyle18"/>
          <w:b/>
          <w:sz w:val="28"/>
          <w:szCs w:val="28"/>
        </w:rPr>
        <w:br/>
        <w:t xml:space="preserve">самоврядування в Україні" та "Про службу в органах місцевого самоврядування" </w:t>
      </w:r>
    </w:p>
    <w:p w:rsidR="00732551" w:rsidRDefault="00732551" w:rsidP="00732551">
      <w:pPr>
        <w:pStyle w:val="Style7"/>
        <w:widowControl/>
        <w:numPr>
          <w:ilvl w:val="0"/>
          <w:numId w:val="2"/>
        </w:numPr>
        <w:tabs>
          <w:tab w:val="left" w:pos="1018"/>
        </w:tabs>
        <w:spacing w:before="29" w:line="322" w:lineRule="exac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Поняття служби в органах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9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Право на службу в органах місцевого самоврядування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9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Основні принципи служби в органах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9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Основні напрями державної політики у сфері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9"/>
        </w:tabs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Основні обов'язки посадових осіб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9"/>
        </w:tabs>
      </w:pPr>
      <w:r>
        <w:rPr>
          <w:rStyle w:val="FontStyle18"/>
          <w:sz w:val="28"/>
          <w:szCs w:val="28"/>
        </w:rPr>
        <w:t>Основні права посадових осіб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4"/>
        </w:tabs>
        <w:ind w:right="107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Обмеження, пов'язані з прийняттям на службу в органах місцевого самоврядування та її проходженням 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4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Особливості дисциплінарної відповідальності посадових осіб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629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Присяга посадових осіб місцевого самоврядування.</w:t>
      </w:r>
    </w:p>
    <w:p w:rsidR="00732551" w:rsidRPr="00F57CFB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sz w:val="28"/>
          <w:szCs w:val="28"/>
        </w:rPr>
      </w:pPr>
      <w:r w:rsidRPr="00F57CFB">
        <w:rPr>
          <w:sz w:val="28"/>
          <w:szCs w:val="28"/>
        </w:rPr>
        <w:t>Підстави припинення служби в органах місцевого самоврядування</w:t>
      </w:r>
      <w:r>
        <w:rPr>
          <w:sz w:val="28"/>
          <w:szCs w:val="28"/>
        </w:rPr>
        <w:t>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Класифікація посад та ранги посадових осіб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768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Прийняття на посаду,випробування при прийнятті на службу в органах</w:t>
      </w:r>
      <w:r>
        <w:rPr>
          <w:rStyle w:val="FontStyle18"/>
          <w:sz w:val="28"/>
          <w:szCs w:val="28"/>
        </w:rPr>
        <w:br/>
        <w:t>місцевого самоврядування; стажування 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Просування по службі посадових осіб місцевого самоврядування 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Кадровий резерв посадових осіб місцевого самоврядування.</w:t>
      </w:r>
    </w:p>
    <w:p w:rsidR="00732551" w:rsidRPr="00F57CFB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Підстави припинення служби в органах місцевого самоврядування.</w:t>
      </w:r>
      <w:r w:rsidRPr="00F57CFB">
        <w:rPr>
          <w:rStyle w:val="FontStyle18"/>
          <w:sz w:val="28"/>
          <w:szCs w:val="28"/>
        </w:rPr>
        <w:t>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Оплата праці посадових осіб місцевого самоврядування.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768"/>
        </w:tabs>
        <w:ind w:right="161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Щорічні та додаткові відпустки посадових осіб місцевого</w:t>
      </w:r>
      <w:r>
        <w:rPr>
          <w:rStyle w:val="FontStyle18"/>
          <w:sz w:val="28"/>
          <w:szCs w:val="28"/>
        </w:rPr>
        <w:br/>
        <w:t>самоврядування;  соціально-побутове забезпечення.</w:t>
      </w:r>
    </w:p>
    <w:p w:rsidR="00732551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Пенсійне забезпечення посадових осіб місцевого самоврядування.</w:t>
      </w:r>
    </w:p>
    <w:p w:rsidR="00732551" w:rsidRPr="00F57CFB" w:rsidRDefault="00732551" w:rsidP="00732551">
      <w:pPr>
        <w:pStyle w:val="Style5"/>
        <w:widowControl/>
        <w:numPr>
          <w:ilvl w:val="0"/>
          <w:numId w:val="2"/>
        </w:numPr>
        <w:tabs>
          <w:tab w:val="left" w:pos="773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Відповідальність за порушення законодавства.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18"/>
          <w:b/>
          <w:sz w:val="28"/>
          <w:szCs w:val="28"/>
          <w:lang w:val="uk-UA"/>
        </w:rPr>
      </w:pPr>
    </w:p>
    <w:p w:rsidR="00732551" w:rsidRPr="00731DE0" w:rsidRDefault="00732551" w:rsidP="007325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731DE0">
        <w:rPr>
          <w:rStyle w:val="FontStyle18"/>
          <w:b/>
          <w:sz w:val="28"/>
          <w:szCs w:val="28"/>
        </w:rPr>
        <w:t>III.</w:t>
      </w:r>
      <w:r w:rsidRPr="00731DE0">
        <w:rPr>
          <w:rStyle w:val="FontStyle18"/>
          <w:b/>
          <w:sz w:val="28"/>
          <w:szCs w:val="28"/>
        </w:rPr>
        <w:tab/>
        <w:t xml:space="preserve"> </w:t>
      </w:r>
      <w:r w:rsidRPr="00731D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ПЕРЕЛІК ПИТАНЬ</w:t>
      </w:r>
    </w:p>
    <w:p w:rsidR="00732551" w:rsidRPr="00731DE0" w:rsidRDefault="00732551" w:rsidP="007325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731D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      на перевірку знання</w:t>
      </w:r>
    </w:p>
    <w:p w:rsidR="00732551" w:rsidRPr="00731DE0" w:rsidRDefault="00732551" w:rsidP="007325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731DE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Закону України «Про запобігання  корупції»</w:t>
      </w:r>
    </w:p>
    <w:p w:rsidR="00732551" w:rsidRDefault="00732551" w:rsidP="00732551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color w:val="333333"/>
          <w:sz w:val="27"/>
          <w:szCs w:val="27"/>
        </w:rPr>
      </w:pPr>
      <w:r>
        <w:rPr>
          <w:b w:val="0"/>
          <w:bCs w:val="0"/>
          <w:color w:val="333333"/>
        </w:rPr>
        <w:t> 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</w:t>
      </w:r>
      <w:r w:rsidR="00CC0E17">
        <w:rPr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 xml:space="preserve">2. Суб'єкти, на яких поширюється дія Закону України "Про запобігання корупції" 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3. Статус та склад Національного агентства з питань запобігання корупції</w:t>
      </w:r>
      <w:r w:rsidR="00CC0E17">
        <w:rPr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4. Повноваження Національного агентства з питань запобігання корупції</w:t>
      </w:r>
      <w:r w:rsidR="00CC0E17">
        <w:rPr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CC0E17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  <w:bdr w:val="none" w:sz="0" w:space="0" w:color="auto" w:frame="1"/>
          <w:lang w:val="uk-UA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5. Права Національного агентства з питань запобігання корупції</w:t>
      </w:r>
      <w:r w:rsidR="00CC0E17">
        <w:rPr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6. Контроль за діяльністю Національного агентства з питань запобігання корупції.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7. Національна доповідь щодо реалізації засад антикорупційної політики.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8. Обмеження щодо використання службових повноважень чи свого становища та одержання подарунків.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9. Обмеження щодо сумісництва та суміщення з іншими видами діяльності та обмеження спільної роботи близьких осіб.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10. Запобігання та врегулювання конфлікту інтересів.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11. Заходи зовнішнього та самостійного врегулювання конфлікту інтересів</w:t>
      </w:r>
      <w:r w:rsidR="00FC7A2A">
        <w:rPr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12. Запобігання конфлікту інтересів у зв'язку з наявністю в особи підприємств чи корпоративних прав.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13. Вимоги до поведінки осіб.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14. Подання декларацій осіб, уповноважених на виконання функцій держави або місцевого самоврядування.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15. Встановлення своєчасності подання декларації та повна перевірка декларації.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16. Моніторинг способу життя суб'єктів декларування.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lastRenderedPageBreak/>
        <w:t>17. Державний захист осіб, які надають допомогу в запобіганні і протидії корупції</w:t>
      </w:r>
      <w:r w:rsidR="00FC7A2A">
        <w:rPr>
          <w:color w:val="333333"/>
          <w:sz w:val="30"/>
          <w:szCs w:val="30"/>
          <w:bdr w:val="none" w:sz="0" w:space="0" w:color="auto" w:frame="1"/>
          <w:lang w:val="uk-UA"/>
        </w:rPr>
        <w:t>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18. Заборона на одержання пільг, послуг і майна органами державної влади та органами місцевого самоврядування.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19. Антикорупційна експертиза.</w:t>
      </w:r>
    </w:p>
    <w:p w:rsidR="00732551" w:rsidRDefault="00732551" w:rsidP="007325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30"/>
          <w:szCs w:val="30"/>
          <w:bdr w:val="none" w:sz="0" w:space="0" w:color="auto" w:frame="1"/>
          <w:lang w:val="uk-UA"/>
        </w:rPr>
        <w:t>20. Спеціальна перевірка.</w:t>
      </w:r>
    </w:p>
    <w:p w:rsidR="00732551" w:rsidRPr="002C47A9" w:rsidRDefault="00732551" w:rsidP="00732551">
      <w:pPr>
        <w:pStyle w:val="Style8"/>
        <w:widowControl/>
        <w:tabs>
          <w:tab w:val="left" w:pos="1046"/>
        </w:tabs>
        <w:spacing w:before="24" w:line="322" w:lineRule="exact"/>
        <w:jc w:val="center"/>
        <w:rPr>
          <w:rStyle w:val="FontStyle18"/>
          <w:sz w:val="28"/>
          <w:szCs w:val="28"/>
          <w:lang w:val="ru-RU"/>
        </w:rPr>
      </w:pPr>
    </w:p>
    <w:p w:rsidR="00EB3686" w:rsidRPr="00732551" w:rsidRDefault="00EB3686">
      <w:pPr>
        <w:rPr>
          <w:lang w:val="uk-UA"/>
        </w:rPr>
      </w:pPr>
    </w:p>
    <w:sectPr w:rsidR="00EB3686" w:rsidRPr="00732551" w:rsidSect="00DB1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1229"/>
    <w:multiLevelType w:val="hybridMultilevel"/>
    <w:tmpl w:val="ABFC7212"/>
    <w:lvl w:ilvl="0" w:tplc="F13637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2F38"/>
    <w:multiLevelType w:val="hybridMultilevel"/>
    <w:tmpl w:val="6816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551"/>
    <w:rsid w:val="00514E5D"/>
    <w:rsid w:val="00647AED"/>
    <w:rsid w:val="00732551"/>
    <w:rsid w:val="00A25B87"/>
    <w:rsid w:val="00C25173"/>
    <w:rsid w:val="00CC0E17"/>
    <w:rsid w:val="00DB1D11"/>
    <w:rsid w:val="00EB3686"/>
    <w:rsid w:val="00EF1FD1"/>
    <w:rsid w:val="00FC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73"/>
  </w:style>
  <w:style w:type="paragraph" w:styleId="3">
    <w:name w:val="heading 3"/>
    <w:basedOn w:val="a"/>
    <w:next w:val="a"/>
    <w:link w:val="30"/>
    <w:semiHidden/>
    <w:unhideWhenUsed/>
    <w:qFormat/>
    <w:rsid w:val="007325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255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rsid w:val="0073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73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732551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732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732551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rsid w:val="00732551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rsid w:val="00732551"/>
    <w:pPr>
      <w:widowControl w:val="0"/>
      <w:autoSpaceDE w:val="0"/>
      <w:autoSpaceDN w:val="0"/>
      <w:adjustRightInd w:val="0"/>
      <w:spacing w:after="0" w:line="32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732551"/>
    <w:pPr>
      <w:widowControl w:val="0"/>
      <w:autoSpaceDE w:val="0"/>
      <w:autoSpaceDN w:val="0"/>
      <w:adjustRightInd w:val="0"/>
      <w:spacing w:after="0" w:line="329" w:lineRule="exact"/>
      <w:ind w:firstLine="34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6">
    <w:name w:val="Font Style16"/>
    <w:rsid w:val="0073255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7">
    <w:name w:val="Font Style17"/>
    <w:rsid w:val="007325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73255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73255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73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2021-03-16T07:44:00Z</dcterms:created>
  <dcterms:modified xsi:type="dcterms:W3CDTF">2021-06-01T06:45:00Z</dcterms:modified>
</cp:coreProperties>
</file>