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AC" w:rsidRPr="00441BAC" w:rsidRDefault="00441BAC" w:rsidP="00441BAC">
      <w:pPr>
        <w:jc w:val="right"/>
        <w:rPr>
          <w:rFonts w:cs="Arial"/>
          <w:b/>
          <w:lang w:val="uk-UA"/>
        </w:rPr>
      </w:pPr>
      <w:bookmarkStart w:id="0" w:name="_GoBack"/>
      <w:bookmarkEnd w:id="0"/>
      <w:r w:rsidRPr="00441BAC">
        <w:rPr>
          <w:rFonts w:cs="Arial"/>
          <w:b/>
          <w:highlight w:val="lightGray"/>
          <w:lang w:val="uk-UA"/>
        </w:rPr>
        <w:t>Додаток 1</w:t>
      </w:r>
    </w:p>
    <w:p w:rsidR="00441BAC" w:rsidRPr="00441BAC" w:rsidRDefault="00441BAC" w:rsidP="00441BAC">
      <w:pPr>
        <w:jc w:val="center"/>
        <w:rPr>
          <w:rFonts w:ascii="Cambria" w:hAnsi="Cambria" w:cs="Arial"/>
          <w:b/>
          <w:lang w:val="uk-UA"/>
        </w:rPr>
      </w:pPr>
      <w:r w:rsidRPr="00441BAC">
        <w:rPr>
          <w:rFonts w:ascii="Cambria" w:hAnsi="Cambria" w:cs="Arial"/>
          <w:b/>
          <w:lang w:val="uk-UA"/>
        </w:rPr>
        <w:t>Стратегічн</w:t>
      </w:r>
      <w:r w:rsidR="00F07F69">
        <w:rPr>
          <w:rFonts w:ascii="Cambria" w:hAnsi="Cambria" w:cs="Arial"/>
          <w:b/>
          <w:lang w:val="uk-UA"/>
        </w:rPr>
        <w:t>і</w:t>
      </w:r>
      <w:r w:rsidRPr="00441BAC">
        <w:rPr>
          <w:rFonts w:ascii="Cambria" w:hAnsi="Cambria" w:cs="Arial"/>
          <w:b/>
          <w:lang w:val="uk-UA"/>
        </w:rPr>
        <w:t>, операційн</w:t>
      </w:r>
      <w:r w:rsidR="00F07F69">
        <w:rPr>
          <w:rFonts w:ascii="Cambria" w:hAnsi="Cambria" w:cs="Arial"/>
          <w:b/>
          <w:lang w:val="uk-UA"/>
        </w:rPr>
        <w:t>і</w:t>
      </w:r>
      <w:r w:rsidRPr="00441BAC">
        <w:rPr>
          <w:rFonts w:ascii="Cambria" w:hAnsi="Cambria" w:cs="Arial"/>
          <w:b/>
          <w:lang w:val="uk-UA"/>
        </w:rPr>
        <w:t xml:space="preserve"> ціл</w:t>
      </w:r>
      <w:r w:rsidR="00F07F69">
        <w:rPr>
          <w:rFonts w:ascii="Cambria" w:hAnsi="Cambria" w:cs="Arial"/>
          <w:b/>
          <w:lang w:val="uk-UA"/>
        </w:rPr>
        <w:t>і</w:t>
      </w:r>
      <w:r w:rsidRPr="00441BAC">
        <w:rPr>
          <w:rFonts w:ascii="Cambria" w:hAnsi="Cambria" w:cs="Arial"/>
          <w:b/>
          <w:lang w:val="uk-UA"/>
        </w:rPr>
        <w:t xml:space="preserve"> та завдан</w:t>
      </w:r>
      <w:r w:rsidR="00F07F69">
        <w:rPr>
          <w:rFonts w:ascii="Cambria" w:hAnsi="Cambria" w:cs="Arial"/>
          <w:b/>
          <w:lang w:val="uk-UA"/>
        </w:rPr>
        <w:t>ня</w:t>
      </w:r>
      <w:r w:rsidRPr="00441BAC">
        <w:rPr>
          <w:rFonts w:ascii="Cambria" w:hAnsi="Cambria" w:cs="Arial"/>
          <w:b/>
          <w:lang w:val="uk-UA"/>
        </w:rPr>
        <w:t xml:space="preserve"> </w:t>
      </w:r>
      <w:r w:rsidR="009D14D9" w:rsidRPr="00441BAC">
        <w:rPr>
          <w:rFonts w:ascii="Cambria" w:hAnsi="Cambria" w:cs="Arial"/>
          <w:b/>
          <w:lang w:val="uk-UA"/>
        </w:rPr>
        <w:t xml:space="preserve">Стратегії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3056"/>
        <w:gridCol w:w="5006"/>
      </w:tblGrid>
      <w:tr w:rsidR="004D29F3" w:rsidRPr="004D29F3">
        <w:trPr>
          <w:trHeight w:val="449"/>
        </w:trPr>
        <w:tc>
          <w:tcPr>
            <w:tcW w:w="969" w:type="pct"/>
            <w:shd w:val="clear" w:color="auto" w:fill="auto"/>
            <w:vAlign w:val="center"/>
          </w:tcPr>
          <w:p w:rsidR="004D29F3" w:rsidRPr="004D29F3" w:rsidRDefault="004D29F3" w:rsidP="004D29F3">
            <w:pPr>
              <w:jc w:val="center"/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Стратегічні цілі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4D29F3" w:rsidRPr="004D29F3" w:rsidRDefault="004D29F3" w:rsidP="004D29F3">
            <w:pPr>
              <w:jc w:val="center"/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Операційні цілі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4D29F3" w:rsidRPr="004D29F3" w:rsidRDefault="004D29F3" w:rsidP="004D29F3">
            <w:pPr>
              <w:jc w:val="center"/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Завдання та заходи</w:t>
            </w:r>
          </w:p>
        </w:tc>
      </w:tr>
      <w:tr w:rsidR="004D29F3" w:rsidRPr="004D29F3">
        <w:tc>
          <w:tcPr>
            <w:tcW w:w="969" w:type="pct"/>
            <w:vMerge w:val="restart"/>
            <w:shd w:val="clear" w:color="auto" w:fill="auto"/>
          </w:tcPr>
          <w:p w:rsidR="004D29F3" w:rsidRPr="004D29F3" w:rsidRDefault="004D29F3" w:rsidP="004D29F3">
            <w:pPr>
              <w:pStyle w:val="1"/>
              <w:spacing w:after="0" w:line="240" w:lineRule="auto"/>
              <w:ind w:left="0"/>
              <w:rPr>
                <w:rFonts w:ascii="Cambria" w:hAnsi="Cambria" w:cs="Times New Roman"/>
                <w:i/>
                <w:iCs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 w:cs="Times New Roman"/>
                <w:sz w:val="21"/>
                <w:szCs w:val="21"/>
                <w:lang w:val="uk-UA"/>
              </w:rPr>
              <w:t>1</w:t>
            </w:r>
            <w:r w:rsidRPr="004D29F3">
              <w:rPr>
                <w:rFonts w:ascii="Cambria" w:hAnsi="Cambria" w:cs="Times New Roman"/>
                <w:i/>
                <w:iCs/>
                <w:sz w:val="21"/>
                <w:szCs w:val="21"/>
                <w:lang w:val="uk-UA"/>
              </w:rPr>
              <w:t xml:space="preserve"> </w:t>
            </w:r>
            <w:r w:rsidRPr="004D29F3">
              <w:rPr>
                <w:rFonts w:ascii="Cambria" w:hAnsi="Cambria" w:cs="Times New Roman"/>
                <w:sz w:val="21"/>
                <w:szCs w:val="21"/>
                <w:lang w:val="uk-UA"/>
              </w:rPr>
              <w:t>Володимир-Волинський – регіональний економічний центр з розвиненою багатопрофільною промисловістю та активним підприємництвом</w:t>
            </w:r>
          </w:p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 w:val="restar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1.1. Формування комплексу маркетингу міста як інвестиційно-привабливої території</w:t>
            </w: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1.1.1. Просування місцевого товаровиробника на вітчизняному та закордонному ринках</w:t>
            </w:r>
          </w:p>
        </w:tc>
      </w:tr>
      <w:tr w:rsidR="004D29F3" w:rsidRPr="00FD676B">
        <w:trPr>
          <w:trHeight w:val="548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 xml:space="preserve">1.1.2. Просування позитивного зовнішнього іміджу міста як об’єкта інвестування </w:t>
            </w:r>
          </w:p>
        </w:tc>
      </w:tr>
      <w:tr w:rsidR="004D29F3" w:rsidRPr="004D29F3">
        <w:trPr>
          <w:trHeight w:val="483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 w:val="restar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1.2. Підвищення інвестиційної привабливості міста</w:t>
            </w: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1.2.1. Розширення земельного фонду міста за рахунок земель Міністерства оборони</w:t>
            </w:r>
          </w:p>
        </w:tc>
      </w:tr>
      <w:tr w:rsidR="004D29F3" w:rsidRPr="004D29F3">
        <w:trPr>
          <w:trHeight w:val="495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 xml:space="preserve">1.2.2. Формування </w:t>
            </w:r>
            <w:proofErr w:type="spellStart"/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передпроектних</w:t>
            </w:r>
            <w:proofErr w:type="spellEnd"/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 xml:space="preserve"> пропозицій на </w:t>
            </w:r>
            <w:proofErr w:type="spellStart"/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ревіталізацію</w:t>
            </w:r>
            <w:proofErr w:type="spellEnd"/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старопромислових</w:t>
            </w:r>
            <w:proofErr w:type="spellEnd"/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 xml:space="preserve"> зон міста та/або їх представлення у вигляді інвестиційних проектів</w:t>
            </w:r>
          </w:p>
        </w:tc>
      </w:tr>
      <w:tr w:rsidR="004D29F3" w:rsidRPr="004D29F3">
        <w:trPr>
          <w:trHeight w:val="559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</w:rPr>
              <w:t>1</w:t>
            </w: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.</w:t>
            </w:r>
            <w:r w:rsidRPr="004D29F3">
              <w:rPr>
                <w:rFonts w:ascii="Cambria" w:hAnsi="Cambria"/>
                <w:sz w:val="21"/>
                <w:szCs w:val="21"/>
              </w:rPr>
              <w:t>2</w:t>
            </w: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 xml:space="preserve">.3. Створення інфраструктури підтримки та обслуговування інвестора </w:t>
            </w:r>
          </w:p>
        </w:tc>
      </w:tr>
      <w:tr w:rsidR="004D29F3" w:rsidRPr="004D29F3"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 w:val="restar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 xml:space="preserve">1.3. Удосконалення інфраструктури підтримки місцевого бізнесу </w:t>
            </w: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 xml:space="preserve">1.3.1. Просування ідеї підприємництва серед населення міста </w:t>
            </w:r>
          </w:p>
        </w:tc>
      </w:tr>
      <w:tr w:rsidR="004D29F3" w:rsidRPr="004D29F3"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1.3.2. Покращення системи інформаційної підтримки малого та середнього бізнесу</w:t>
            </w:r>
          </w:p>
        </w:tc>
      </w:tr>
      <w:tr w:rsidR="004D29F3" w:rsidRPr="004D29F3">
        <w:trPr>
          <w:trHeight w:val="361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1.3.3. Розвиток електронного самоврядування</w:t>
            </w:r>
          </w:p>
        </w:tc>
      </w:tr>
      <w:tr w:rsidR="004D29F3" w:rsidRPr="00FD676B">
        <w:trPr>
          <w:trHeight w:val="516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 xml:space="preserve">1.3.4. Запровадження системи постійної співпраці роботодавців, місцевої влади та керівників навчальних закладів міста </w:t>
            </w:r>
          </w:p>
        </w:tc>
      </w:tr>
      <w:tr w:rsidR="004D29F3" w:rsidRPr="004D29F3">
        <w:trPr>
          <w:trHeight w:val="391"/>
        </w:trPr>
        <w:tc>
          <w:tcPr>
            <w:tcW w:w="969" w:type="pct"/>
            <w:vMerge w:val="restar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2. Володимир-Волинський – важливий екологічно-привабливий</w:t>
            </w:r>
          </w:p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історико-культурний центр регіону, затишне і комфортне місто для проживання</w:t>
            </w:r>
          </w:p>
        </w:tc>
        <w:tc>
          <w:tcPr>
            <w:tcW w:w="1532" w:type="pct"/>
            <w:vMerge w:val="restar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2.1. Відродження іміджу міста як важливого історико-культурного центру регіону</w:t>
            </w: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2.1.1. Розроблення бренду міста</w:t>
            </w:r>
          </w:p>
        </w:tc>
      </w:tr>
      <w:tr w:rsidR="004D29F3" w:rsidRPr="004D29F3">
        <w:trPr>
          <w:trHeight w:val="265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2.1.2. Відновлення історично-культурних об’єктів міста</w:t>
            </w:r>
          </w:p>
        </w:tc>
      </w:tr>
      <w:tr w:rsidR="004D29F3" w:rsidRPr="004D29F3">
        <w:trPr>
          <w:trHeight w:val="281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2.1.3. Сприяння створенню інтегрованого регіонального туристичного продукту</w:t>
            </w:r>
          </w:p>
        </w:tc>
      </w:tr>
      <w:tr w:rsidR="004D29F3" w:rsidRPr="004D29F3">
        <w:trPr>
          <w:trHeight w:val="403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2.1.4. Створення концепції туристичного продукту «Стародавній Володимир»</w:t>
            </w:r>
          </w:p>
        </w:tc>
      </w:tr>
      <w:tr w:rsidR="004D29F3" w:rsidRPr="004D29F3">
        <w:trPr>
          <w:trHeight w:val="281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 xml:space="preserve">2.1.5. Запровадження комплексу заходів </w:t>
            </w:r>
            <w:proofErr w:type="spellStart"/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подієвого</w:t>
            </w:r>
            <w:proofErr w:type="spellEnd"/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 xml:space="preserve"> туризму національного та міжнародного значення </w:t>
            </w:r>
          </w:p>
        </w:tc>
      </w:tr>
      <w:tr w:rsidR="004D29F3" w:rsidRPr="004D29F3">
        <w:trPr>
          <w:trHeight w:val="281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b/>
                <w:bCs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 xml:space="preserve">2.1.6. Проведення спільних </w:t>
            </w:r>
            <w:proofErr w:type="spellStart"/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промоційних</w:t>
            </w:r>
            <w:proofErr w:type="spellEnd"/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 xml:space="preserve"> заходів із закордонними партнерами, </w:t>
            </w:r>
            <w:r w:rsidRPr="004D29F3">
              <w:rPr>
                <w:rFonts w:ascii="Cambria" w:hAnsi="Cambria"/>
                <w:iCs/>
                <w:sz w:val="21"/>
                <w:szCs w:val="21"/>
                <w:lang w:val="uk-UA"/>
              </w:rPr>
              <w:t>в т.ч. містами-побратимами</w:t>
            </w:r>
          </w:p>
        </w:tc>
      </w:tr>
      <w:tr w:rsidR="004D29F3" w:rsidRPr="004D29F3"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 w:val="restar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b/>
                <w:bCs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2.2. Створення образу міста як комфортного і безпечного для мешканців та гостей</w:t>
            </w:r>
          </w:p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 xml:space="preserve">2.2.1. Реалізація місцевих проектів благоустрою за участі громади </w:t>
            </w:r>
          </w:p>
        </w:tc>
      </w:tr>
      <w:tr w:rsidR="004D29F3" w:rsidRPr="004D29F3"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2.2.2. Створення/розширення публічного простору міста</w:t>
            </w:r>
          </w:p>
        </w:tc>
      </w:tr>
      <w:tr w:rsidR="004D29F3" w:rsidRPr="004D29F3">
        <w:trPr>
          <w:trHeight w:val="353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2.2.3. Запровадження комплексу заходів з підвищення рівня безпеки у місті</w:t>
            </w:r>
          </w:p>
        </w:tc>
      </w:tr>
      <w:tr w:rsidR="004D29F3" w:rsidRPr="004D29F3">
        <w:trPr>
          <w:trHeight w:val="275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2.2.4. Розвиток транспортної інфраструктури міста</w:t>
            </w:r>
          </w:p>
        </w:tc>
      </w:tr>
      <w:tr w:rsidR="004D29F3" w:rsidRPr="004D29F3">
        <w:trPr>
          <w:trHeight w:val="340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 w:val="restar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2.3. Створення нового привабливого обличчя міста чистого довкілля</w:t>
            </w: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2.3.1. Покращення стану поводження з ТПВ в місті</w:t>
            </w:r>
          </w:p>
        </w:tc>
      </w:tr>
      <w:tr w:rsidR="004D29F3" w:rsidRPr="004D29F3">
        <w:trPr>
          <w:trHeight w:val="409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2.3.2. Підвищення екологічної свідомості мешканців</w:t>
            </w:r>
          </w:p>
        </w:tc>
      </w:tr>
      <w:tr w:rsidR="004D29F3" w:rsidRPr="004D29F3">
        <w:trPr>
          <w:trHeight w:val="331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 w:val="restar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2.4. Підвищення рівня енергоефективності</w:t>
            </w: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2.4.1. Підвищення енергоефективності житлово-комунального господарства та закладів бюджетної сфери міста</w:t>
            </w:r>
          </w:p>
        </w:tc>
      </w:tr>
      <w:tr w:rsidR="004D29F3" w:rsidRPr="004D29F3">
        <w:trPr>
          <w:trHeight w:val="265"/>
        </w:trPr>
        <w:tc>
          <w:tcPr>
            <w:tcW w:w="969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1532" w:type="pct"/>
            <w:vMerge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4D29F3" w:rsidRPr="004D29F3" w:rsidRDefault="004D29F3" w:rsidP="004D29F3">
            <w:pPr>
              <w:rPr>
                <w:rFonts w:ascii="Cambria" w:hAnsi="Cambria"/>
                <w:sz w:val="21"/>
                <w:szCs w:val="21"/>
                <w:lang w:val="uk-UA"/>
              </w:rPr>
            </w:pPr>
            <w:r w:rsidRPr="004D29F3">
              <w:rPr>
                <w:rFonts w:ascii="Cambria" w:hAnsi="Cambria"/>
                <w:sz w:val="21"/>
                <w:szCs w:val="21"/>
                <w:lang w:val="uk-UA"/>
              </w:rPr>
              <w:t>2.4.2. Розвиток альтернативної енергетики</w:t>
            </w:r>
          </w:p>
        </w:tc>
      </w:tr>
    </w:tbl>
    <w:p w:rsidR="00441BAC" w:rsidRPr="009D14D9" w:rsidRDefault="00441BAC" w:rsidP="00441BAC">
      <w:pPr>
        <w:jc w:val="both"/>
        <w:rPr>
          <w:rFonts w:cs="Arial"/>
          <w:sz w:val="4"/>
          <w:szCs w:val="4"/>
          <w:lang w:val="uk-UA"/>
        </w:rPr>
      </w:pPr>
    </w:p>
    <w:p w:rsidR="00441BAC" w:rsidRPr="00441BAC" w:rsidRDefault="008C5F23" w:rsidP="00441BAC">
      <w:pPr>
        <w:jc w:val="right"/>
        <w:rPr>
          <w:rFonts w:cs="Arial"/>
          <w:b/>
          <w:lang w:val="uk-UA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441BAC" w:rsidRPr="00441BAC">
        <w:rPr>
          <w:rFonts w:cs="Arial"/>
          <w:b/>
          <w:highlight w:val="lightGray"/>
          <w:lang w:val="uk-UA"/>
        </w:rPr>
        <w:lastRenderedPageBreak/>
        <w:t>Додаток 2</w:t>
      </w:r>
    </w:p>
    <w:p w:rsidR="00EF04E8" w:rsidRDefault="00EF04E8" w:rsidP="00EF04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Форма</w:t>
      </w:r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технічного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завдання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на про</w:t>
      </w:r>
      <w:r w:rsidR="00833046">
        <w:rPr>
          <w:rFonts w:ascii="Arial" w:hAnsi="Arial" w:cs="Arial"/>
          <w:b/>
          <w:color w:val="000000"/>
          <w:sz w:val="22"/>
          <w:szCs w:val="22"/>
          <w:lang w:val="uk-UA"/>
        </w:rPr>
        <w:t>є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кт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місцевого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розвитку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F04E8" w:rsidRPr="005A7A88" w:rsidRDefault="00EF04E8" w:rsidP="00EF04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до Плану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реалізації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Стратегії</w:t>
      </w:r>
      <w:proofErr w:type="spellEnd"/>
    </w:p>
    <w:p w:rsidR="00EF04E8" w:rsidRDefault="00EF04E8" w:rsidP="00EF04E8"/>
    <w:tbl>
      <w:tblPr>
        <w:tblW w:w="96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132"/>
        <w:gridCol w:w="1132"/>
        <w:gridCol w:w="1133"/>
        <w:gridCol w:w="1114"/>
        <w:gridCol w:w="2283"/>
      </w:tblGrid>
      <w:tr w:rsidR="000B0B74" w:rsidRPr="00594819">
        <w:trPr>
          <w:jc w:val="right"/>
        </w:trPr>
        <w:tc>
          <w:tcPr>
            <w:tcW w:w="2880" w:type="dxa"/>
          </w:tcPr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 w:rsidRPr="008D08AC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Ваші контакти:</w:t>
            </w:r>
            <w:r w:rsidRPr="008D08AC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br/>
            </w:r>
            <w:r w:rsidRPr="008D08AC">
              <w:rPr>
                <w:rFonts w:ascii="Cambria" w:hAnsi="Cambria" w:cs="Arial"/>
                <w:sz w:val="20"/>
                <w:szCs w:val="22"/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0B0B74" w:rsidRPr="00594819">
        <w:trPr>
          <w:jc w:val="right"/>
        </w:trPr>
        <w:tc>
          <w:tcPr>
            <w:tcW w:w="2880" w:type="dxa"/>
          </w:tcPr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 w:rsidRPr="008D08AC">
              <w:rPr>
                <w:rFonts w:ascii="Cambria" w:hAnsi="Cambria" w:cs="Arial"/>
                <w:sz w:val="20"/>
                <w:szCs w:val="22"/>
                <w:lang w:val="uk-UA" w:eastAsia="it-IT"/>
              </w:rPr>
              <w:t>Телефон (мобільний):</w:t>
            </w:r>
          </w:p>
        </w:tc>
        <w:tc>
          <w:tcPr>
            <w:tcW w:w="6794" w:type="dxa"/>
            <w:gridSpan w:val="5"/>
          </w:tcPr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0B0B74" w:rsidRPr="00594819">
        <w:trPr>
          <w:jc w:val="right"/>
        </w:trPr>
        <w:tc>
          <w:tcPr>
            <w:tcW w:w="2880" w:type="dxa"/>
          </w:tcPr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 w:rsidRPr="008D08AC">
              <w:rPr>
                <w:rFonts w:ascii="Cambria" w:hAnsi="Cambria" w:cs="Arial"/>
                <w:sz w:val="20"/>
                <w:szCs w:val="22"/>
                <w:lang w:val="uk-UA" w:eastAsia="it-IT"/>
              </w:rPr>
              <w:t>Електронна адреса:</w:t>
            </w:r>
          </w:p>
        </w:tc>
        <w:tc>
          <w:tcPr>
            <w:tcW w:w="6794" w:type="dxa"/>
            <w:gridSpan w:val="5"/>
          </w:tcPr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0B0B74">
            <w:pPr>
              <w:pStyle w:val="6"/>
              <w:spacing w:before="0" w:after="0"/>
              <w:rPr>
                <w:rFonts w:ascii="Cambria" w:hAnsi="Cambria"/>
                <w:color w:val="000000"/>
                <w:lang w:val="uk-UA"/>
              </w:rPr>
            </w:pPr>
            <w:r w:rsidRPr="00594819">
              <w:rPr>
                <w:rFonts w:ascii="Cambria" w:hAnsi="Cambria"/>
                <w:color w:val="000000"/>
                <w:lang w:val="uk-UA"/>
              </w:rPr>
              <w:t>Завдання Стратегії, якому відповідає проект:</w:t>
            </w:r>
          </w:p>
        </w:tc>
        <w:tc>
          <w:tcPr>
            <w:tcW w:w="6794" w:type="dxa"/>
            <w:gridSpan w:val="5"/>
          </w:tcPr>
          <w:p w:rsidR="000B0B74" w:rsidRPr="008D08AC" w:rsidRDefault="000B0B74" w:rsidP="000B0B74">
            <w:pPr>
              <w:pBdr>
                <w:left w:val="single" w:sz="18" w:space="4" w:color="auto"/>
              </w:pBd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Вкажіть</w:t>
            </w:r>
            <w:r w:rsidRPr="008D08AC"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 завдання зі Стратегії розвитку </w:t>
            </w: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Волочиської</w:t>
            </w:r>
            <w:r w:rsidRPr="008D08AC"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 області, якого стосується </w:t>
            </w: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Ваша</w:t>
            </w:r>
            <w:r w:rsidRPr="008D08AC"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 ідея.</w:t>
            </w:r>
          </w:p>
          <w:p w:rsidR="000B0B74" w:rsidRPr="008D08AC" w:rsidRDefault="000B0B74" w:rsidP="000B0B74">
            <w:pPr>
              <w:pBdr>
                <w:left w:val="single" w:sz="18" w:space="4" w:color="auto"/>
              </w:pBd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Назва проекту:</w:t>
            </w:r>
          </w:p>
        </w:tc>
        <w:tc>
          <w:tcPr>
            <w:tcW w:w="6794" w:type="dxa"/>
            <w:gridSpan w:val="5"/>
          </w:tcPr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8D08AC">
              <w:rPr>
                <w:rFonts w:ascii="Cambria" w:hAnsi="Cambria" w:cs="Arial"/>
                <w:sz w:val="16"/>
                <w:szCs w:val="16"/>
                <w:lang w:val="uk-UA" w:eastAsia="it-IT"/>
              </w:rPr>
              <w:t>Назва проекту повинна відображати його зміст використовуючи настільки мало слів наскільки це можливо.</w:t>
            </w:r>
          </w:p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Цілі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</w:tcPr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8D08AC">
              <w:rPr>
                <w:rFonts w:ascii="Cambria" w:hAnsi="Cambria" w:cs="Arial"/>
                <w:sz w:val="16"/>
                <w:szCs w:val="16"/>
                <w:lang w:val="uk-UA" w:eastAsia="it-IT"/>
              </w:rPr>
              <w:t>Зазначте одну або кілька цілей, які будуть досягнуті внаслідок реалізації проекту.</w:t>
            </w:r>
          </w:p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9D14D9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Територія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на яку</w:t>
            </w:r>
            <w:proofErr w:type="gram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проект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матиме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вплив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</w:tcPr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8D08AC"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Зазначте в яких населених пунктах </w:t>
            </w: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громади</w:t>
            </w:r>
            <w:r w:rsidRPr="008D08AC"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 має здійснюватись проект.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9D14D9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Орієнтовна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кількість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отримувачів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вигод</w:t>
            </w:r>
            <w:proofErr w:type="spellEnd"/>
          </w:p>
        </w:tc>
        <w:tc>
          <w:tcPr>
            <w:tcW w:w="6794" w:type="dxa"/>
            <w:gridSpan w:val="5"/>
          </w:tcPr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8D08AC">
              <w:rPr>
                <w:rFonts w:ascii="Cambria" w:hAnsi="Cambria" w:cs="Arial"/>
                <w:sz w:val="16"/>
                <w:szCs w:val="16"/>
                <w:lang w:val="uk-UA" w:eastAsia="it-IT"/>
              </w:rPr>
              <w:t>Зазначте яка кількість населення яких соціальних груп буде отримувачем вигод від реалізації проекту.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Стислий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опис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</w:tcPr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8D08AC">
              <w:rPr>
                <w:rFonts w:ascii="Cambria" w:hAnsi="Cambria" w:cs="Arial"/>
                <w:sz w:val="16"/>
                <w:szCs w:val="16"/>
                <w:lang w:val="uk-UA" w:eastAsia="it-IT"/>
              </w:rPr>
              <w:t>Максимально стислий опис (не більше 200 слів) проблеми і змін, які буде досягнуто, внаслідок реалізації проекту.</w:t>
            </w:r>
          </w:p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Очікувані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результати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8D08AC">
              <w:rPr>
                <w:rFonts w:ascii="Cambria" w:hAnsi="Cambria" w:cs="Arial"/>
                <w:sz w:val="16"/>
                <w:szCs w:val="16"/>
                <w:lang w:val="uk-UA" w:eastAsia="it-IT"/>
              </w:rPr>
              <w:t>Виключно ключові очікувані результати повинні бути зазначені тут у наступній формі «завершено», «створено», «підготовлено», «навчено» і т.д. Очікувані результати мають чітко вести до досягнення завдань на які спрямований проект.</w:t>
            </w:r>
          </w:p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Ключові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заходи проекту:</w:t>
            </w:r>
          </w:p>
        </w:tc>
        <w:tc>
          <w:tcPr>
            <w:tcW w:w="6794" w:type="dxa"/>
            <w:gridSpan w:val="5"/>
          </w:tcPr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8D08AC">
              <w:rPr>
                <w:rFonts w:ascii="Cambria" w:hAnsi="Cambria" w:cs="Arial"/>
                <w:sz w:val="16"/>
                <w:szCs w:val="16"/>
                <w:lang w:val="uk-UA" w:eastAsia="it-IT"/>
              </w:rPr>
              <w:t>Зазначте лише ключові групи заходів у формі «створення</w:t>
            </w: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…</w:t>
            </w:r>
            <w:r w:rsidRPr="008D08AC">
              <w:rPr>
                <w:rFonts w:ascii="Cambria" w:hAnsi="Cambria" w:cs="Arial"/>
                <w:sz w:val="16"/>
                <w:szCs w:val="16"/>
                <w:lang w:val="uk-UA" w:eastAsia="it-IT"/>
              </w:rPr>
              <w:t>», «підготовка</w:t>
            </w: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…</w:t>
            </w:r>
            <w:r w:rsidRPr="008D08AC">
              <w:rPr>
                <w:rFonts w:ascii="Cambria" w:hAnsi="Cambria" w:cs="Arial"/>
                <w:sz w:val="16"/>
                <w:szCs w:val="16"/>
                <w:lang w:val="uk-UA" w:eastAsia="it-IT"/>
              </w:rPr>
              <w:t>», «організація</w:t>
            </w: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…</w:t>
            </w:r>
            <w:r w:rsidRPr="008D08AC">
              <w:rPr>
                <w:rFonts w:ascii="Cambria" w:hAnsi="Cambria" w:cs="Arial"/>
                <w:sz w:val="16"/>
                <w:szCs w:val="16"/>
                <w:lang w:val="uk-UA" w:eastAsia="it-IT"/>
              </w:rPr>
              <w:t>» і т.д. Заходи повинні вести до досягнення зазначених очікуваних результатів.</w:t>
            </w:r>
          </w:p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Період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здійснення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794" w:type="dxa"/>
            <w:gridSpan w:val="5"/>
            <w:vAlign w:val="center"/>
          </w:tcPr>
          <w:p w:rsidR="000B0B74" w:rsidRPr="00594819" w:rsidRDefault="000B0B74" w:rsidP="002657B8">
            <w:pP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20</w:t>
            </w:r>
            <w:r w:rsidR="005F2744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2</w:t>
            </w:r>
            <w:r w:rsidR="002657B8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1</w:t>
            </w: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– 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2</w:t>
            </w:r>
            <w:r w:rsidR="002657B8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4</w:t>
            </w: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роки:</w:t>
            </w:r>
          </w:p>
        </w:tc>
      </w:tr>
      <w:tr w:rsidR="002657B8" w:rsidRPr="00594819" w:rsidTr="002657B8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2657B8" w:rsidRPr="00594819" w:rsidRDefault="002657B8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Орієнтовна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2657B8" w:rsidRPr="000D7A44" w:rsidRDefault="002657B8" w:rsidP="000D7A44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</w:t>
            </w:r>
            <w:r w:rsidR="000D7A44">
              <w:rPr>
                <w:rFonts w:ascii="Cambria" w:hAnsi="Cambria"/>
                <w:b/>
                <w:color w:val="000000"/>
                <w:sz w:val="22"/>
                <w:szCs w:val="22"/>
                <w:lang w:val="en-US" w:eastAsia="it-IT"/>
              </w:rPr>
              <w:t>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2657B8" w:rsidRPr="000D7A44" w:rsidRDefault="002657B8" w:rsidP="000D7A44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</w:t>
            </w:r>
            <w:r w:rsidR="000D7A44">
              <w:rPr>
                <w:rFonts w:ascii="Cambria" w:hAnsi="Cambria"/>
                <w:b/>
                <w:color w:val="000000"/>
                <w:sz w:val="22"/>
                <w:szCs w:val="22"/>
                <w:lang w:val="en-US" w:eastAsia="it-IT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57B8" w:rsidRPr="000D7A44" w:rsidRDefault="002657B8" w:rsidP="000D7A44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202</w:t>
            </w:r>
            <w:r w:rsidR="000D7A44">
              <w:rPr>
                <w:rFonts w:ascii="Cambria" w:hAnsi="Cambria"/>
                <w:b/>
                <w:color w:val="000000"/>
                <w:sz w:val="22"/>
                <w:szCs w:val="22"/>
                <w:lang w:val="en-US" w:eastAsia="it-IT"/>
              </w:rPr>
              <w:t>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57B8" w:rsidRPr="000D7A44" w:rsidRDefault="000D7A44" w:rsidP="002657B8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en-US" w:eastAsia="it-IT"/>
              </w:rPr>
              <w:t>2024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57B8" w:rsidRPr="00594819" w:rsidRDefault="002657B8" w:rsidP="002657B8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Разом</w:t>
            </w:r>
          </w:p>
        </w:tc>
      </w:tr>
      <w:tr w:rsidR="002657B8" w:rsidRPr="00594819" w:rsidTr="002657B8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2657B8" w:rsidRPr="00594819" w:rsidRDefault="002657B8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2657B8" w:rsidRPr="00594819" w:rsidRDefault="002657B8" w:rsidP="009D14D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2657B8" w:rsidRPr="00594819" w:rsidRDefault="002657B8" w:rsidP="009D14D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657B8" w:rsidRPr="00594819" w:rsidRDefault="002657B8" w:rsidP="009D14D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657B8" w:rsidRPr="00594819" w:rsidRDefault="002657B8" w:rsidP="009D14D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657B8" w:rsidRPr="00594819" w:rsidRDefault="002657B8" w:rsidP="009D14D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Джерела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фінансування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vAlign w:val="center"/>
          </w:tcPr>
          <w:p w:rsidR="000B0B74" w:rsidRDefault="000B0B74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  <w:p w:rsidR="000B0B74" w:rsidRPr="00594819" w:rsidRDefault="000B0B74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Ключові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потенційні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учасники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реалізації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  <w:vAlign w:val="center"/>
          </w:tcPr>
          <w:p w:rsidR="000B0B74" w:rsidRDefault="000B0B74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  <w:p w:rsidR="000B0B74" w:rsidRDefault="000B0B74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  <w:p w:rsidR="000B0B74" w:rsidRDefault="000B0B74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  <w:p w:rsidR="000B0B74" w:rsidRDefault="000B0B74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  <w:p w:rsidR="000B0B74" w:rsidRPr="00594819" w:rsidRDefault="000B0B74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Інше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vAlign w:val="center"/>
          </w:tcPr>
          <w:p w:rsidR="000B0B74" w:rsidRDefault="000B0B74" w:rsidP="009D14D9">
            <w:pP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  <w:p w:rsidR="000B0B74" w:rsidRPr="00594819" w:rsidRDefault="000B0B74" w:rsidP="009D14D9">
            <w:pP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EF04E8" w:rsidRDefault="00EF04E8" w:rsidP="00EF04E8"/>
    <w:p w:rsidR="00EF04E8" w:rsidRDefault="00EF04E8" w:rsidP="00EF04E8">
      <w:pPr>
        <w:jc w:val="both"/>
        <w:rPr>
          <w:rFonts w:cs="Arial"/>
          <w:lang w:val="uk-UA"/>
        </w:rPr>
      </w:pPr>
    </w:p>
    <w:p w:rsidR="00EF04E8" w:rsidRDefault="00EF04E8" w:rsidP="00EF04E8"/>
    <w:p w:rsidR="00441BAC" w:rsidRPr="00441BAC" w:rsidRDefault="00EF04E8" w:rsidP="00441BAC">
      <w:pPr>
        <w:jc w:val="right"/>
        <w:rPr>
          <w:rFonts w:cs="Arial"/>
          <w:b/>
          <w:lang w:val="uk-UA"/>
        </w:rPr>
      </w:pPr>
      <w:r>
        <w:br w:type="page"/>
      </w:r>
      <w:r w:rsidR="00441BAC" w:rsidRPr="00441BAC">
        <w:rPr>
          <w:rFonts w:cs="Arial"/>
          <w:b/>
          <w:highlight w:val="lightGray"/>
          <w:lang w:val="uk-UA"/>
        </w:rPr>
        <w:lastRenderedPageBreak/>
        <w:t xml:space="preserve">Додаток </w:t>
      </w:r>
      <w:r w:rsidR="00441BAC">
        <w:rPr>
          <w:rFonts w:cs="Arial"/>
          <w:b/>
          <w:highlight w:val="lightGray"/>
          <w:lang w:val="uk-UA"/>
        </w:rPr>
        <w:t>3</w:t>
      </w:r>
    </w:p>
    <w:p w:rsidR="00EF04E8" w:rsidRDefault="00EF04E8" w:rsidP="00EF04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Приклад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технічного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завдання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на про</w:t>
      </w:r>
      <w:r w:rsidR="00833046">
        <w:rPr>
          <w:rFonts w:ascii="Arial" w:hAnsi="Arial" w:cs="Arial"/>
          <w:b/>
          <w:color w:val="000000"/>
          <w:sz w:val="22"/>
          <w:szCs w:val="22"/>
          <w:lang w:val="uk-UA"/>
        </w:rPr>
        <w:t>є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кт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місцевого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розвитку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F04E8" w:rsidRPr="005A7A88" w:rsidRDefault="00EF04E8" w:rsidP="00EF04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до Плану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реалізації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Стратегії</w:t>
      </w:r>
      <w:proofErr w:type="spellEnd"/>
    </w:p>
    <w:p w:rsidR="00EF04E8" w:rsidRDefault="00EF04E8" w:rsidP="00EF04E8"/>
    <w:tbl>
      <w:tblPr>
        <w:tblW w:w="92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102"/>
        <w:gridCol w:w="1701"/>
        <w:gridCol w:w="1144"/>
        <w:gridCol w:w="802"/>
        <w:gridCol w:w="1605"/>
      </w:tblGrid>
      <w:tr w:rsidR="00EF04E8" w:rsidRPr="00594819" w:rsidTr="00833046">
        <w:trPr>
          <w:jc w:val="right"/>
        </w:trPr>
        <w:tc>
          <w:tcPr>
            <w:tcW w:w="2880" w:type="dxa"/>
            <w:vAlign w:val="center"/>
          </w:tcPr>
          <w:p w:rsidR="00EF04E8" w:rsidRPr="00594819" w:rsidRDefault="00EF04E8" w:rsidP="009D14D9">
            <w:pPr>
              <w:pStyle w:val="6"/>
              <w:spacing w:before="0" w:after="0"/>
              <w:rPr>
                <w:rFonts w:ascii="Cambria" w:hAnsi="Cambria"/>
                <w:color w:val="000000"/>
                <w:lang w:val="uk-UA"/>
              </w:rPr>
            </w:pPr>
            <w:r w:rsidRPr="00594819">
              <w:rPr>
                <w:rFonts w:ascii="Cambria" w:hAnsi="Cambria"/>
                <w:color w:val="000000"/>
                <w:lang w:val="uk-UA"/>
              </w:rPr>
              <w:t>Завдання Стратегії, якому відповідає проект:</w:t>
            </w:r>
          </w:p>
        </w:tc>
        <w:tc>
          <w:tcPr>
            <w:tcW w:w="6354" w:type="dxa"/>
            <w:gridSpan w:val="5"/>
            <w:vAlign w:val="center"/>
          </w:tcPr>
          <w:p w:rsidR="00EF04E8" w:rsidRPr="00594819" w:rsidRDefault="00EF04E8" w:rsidP="009D14D9">
            <w:pPr>
              <w:pBdr>
                <w:left w:val="single" w:sz="18" w:space="4" w:color="auto"/>
              </w:pBd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1.2.2.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Забезпечення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функціонування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центр</w:t>
            </w:r>
            <w: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у</w:t>
            </w:r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надання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адміністративних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послуг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.</w:t>
            </w:r>
          </w:p>
        </w:tc>
      </w:tr>
      <w:tr w:rsidR="00EF04E8" w:rsidRPr="00594819" w:rsidTr="00833046">
        <w:trPr>
          <w:jc w:val="right"/>
        </w:trPr>
        <w:tc>
          <w:tcPr>
            <w:tcW w:w="2880" w:type="dxa"/>
            <w:vAlign w:val="center"/>
          </w:tcPr>
          <w:p w:rsidR="00EF04E8" w:rsidRPr="00594819" w:rsidRDefault="00EF04E8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Назва проекту:</w:t>
            </w:r>
          </w:p>
        </w:tc>
        <w:tc>
          <w:tcPr>
            <w:tcW w:w="6354" w:type="dxa"/>
            <w:gridSpan w:val="5"/>
            <w:vAlign w:val="center"/>
          </w:tcPr>
          <w:p w:rsidR="00EF04E8" w:rsidRPr="00594819" w:rsidRDefault="00EF04E8" w:rsidP="009D14D9">
            <w:pPr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 xml:space="preserve">1.12.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Створення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міськобласного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 xml:space="preserve"> центру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надання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адміністративних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послуг</w:t>
            </w:r>
            <w:proofErr w:type="spellEnd"/>
          </w:p>
        </w:tc>
      </w:tr>
      <w:tr w:rsidR="00EF04E8" w:rsidRPr="00594819" w:rsidTr="00833046">
        <w:trPr>
          <w:jc w:val="right"/>
        </w:trPr>
        <w:tc>
          <w:tcPr>
            <w:tcW w:w="2880" w:type="dxa"/>
            <w:vAlign w:val="center"/>
          </w:tcPr>
          <w:p w:rsidR="00EF04E8" w:rsidRPr="00594819" w:rsidRDefault="00EF04E8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Цілі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354" w:type="dxa"/>
            <w:gridSpan w:val="5"/>
            <w:vAlign w:val="center"/>
          </w:tcPr>
          <w:p w:rsidR="00EF04E8" w:rsidRPr="00594819" w:rsidRDefault="00EF04E8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Реконструкція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приміщення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адміністративної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будівлі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за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адресою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: м.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Рівне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, майдан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Просвіти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, 2</w:t>
            </w:r>
          </w:p>
        </w:tc>
      </w:tr>
      <w:tr w:rsidR="00EF04E8" w:rsidRPr="00594819" w:rsidTr="00833046">
        <w:trPr>
          <w:jc w:val="right"/>
        </w:trPr>
        <w:tc>
          <w:tcPr>
            <w:tcW w:w="2880" w:type="dxa"/>
            <w:vAlign w:val="center"/>
          </w:tcPr>
          <w:p w:rsidR="00EF04E8" w:rsidRPr="00594819" w:rsidRDefault="00EF04E8" w:rsidP="009D14D9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Територія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на яку</w:t>
            </w:r>
            <w:proofErr w:type="gram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проект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матиме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вплив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354" w:type="dxa"/>
            <w:gridSpan w:val="5"/>
            <w:vAlign w:val="center"/>
          </w:tcPr>
          <w:p w:rsidR="00EF04E8" w:rsidRPr="00594819" w:rsidRDefault="00EF04E8" w:rsidP="009D14D9">
            <w:pP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м.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Рівне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(в т.ч.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регіональний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аспект)</w:t>
            </w:r>
          </w:p>
        </w:tc>
      </w:tr>
      <w:tr w:rsidR="00EF04E8" w:rsidRPr="00594819" w:rsidTr="00833046">
        <w:trPr>
          <w:jc w:val="right"/>
        </w:trPr>
        <w:tc>
          <w:tcPr>
            <w:tcW w:w="2880" w:type="dxa"/>
            <w:vAlign w:val="center"/>
          </w:tcPr>
          <w:p w:rsidR="00EF04E8" w:rsidRPr="00594819" w:rsidRDefault="00EF04E8" w:rsidP="009D14D9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Орієнтовна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кількість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отримувачів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вигод</w:t>
            </w:r>
            <w:proofErr w:type="spellEnd"/>
          </w:p>
        </w:tc>
        <w:tc>
          <w:tcPr>
            <w:tcW w:w="6354" w:type="dxa"/>
            <w:gridSpan w:val="5"/>
            <w:vAlign w:val="center"/>
          </w:tcPr>
          <w:p w:rsidR="00EF04E8" w:rsidRPr="00594819" w:rsidRDefault="00EF04E8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За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січень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-листопад 2014 року центром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надання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адміністративних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послуг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у м.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Рівне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надано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суб’єктам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звернень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понад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8 тис.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результатів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адмінпослуг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.</w:t>
            </w:r>
          </w:p>
          <w:p w:rsidR="00EF04E8" w:rsidRPr="00594819" w:rsidRDefault="00EF04E8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З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розширенням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матеріально-технічної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бази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ЦНАПу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передбачається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збільшення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обслуговування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суб’єктів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звернень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та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надання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понад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20 тис.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адмінпослуг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.</w:t>
            </w:r>
          </w:p>
        </w:tc>
      </w:tr>
      <w:tr w:rsidR="00EF04E8" w:rsidRPr="00594819" w:rsidTr="00833046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EF04E8" w:rsidRPr="00594819" w:rsidRDefault="00EF04E8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Стислий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опис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354" w:type="dxa"/>
            <w:gridSpan w:val="5"/>
            <w:vAlign w:val="center"/>
          </w:tcPr>
          <w:p w:rsidR="00EF04E8" w:rsidRPr="00594819" w:rsidRDefault="00EF04E8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Тимчасове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(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діюче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)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приміщення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ЦНАПу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у м.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Рівне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складає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192,2 м2"/>
              </w:smartTagPr>
              <w:r w:rsidRPr="00594819">
                <w:rPr>
                  <w:rFonts w:ascii="Cambria" w:hAnsi="Cambria"/>
                  <w:color w:val="000000"/>
                  <w:sz w:val="22"/>
                  <w:szCs w:val="22"/>
                  <w:lang w:eastAsia="it-IT"/>
                </w:rPr>
                <w:t>192,2 м</w:t>
              </w:r>
              <w:r w:rsidRPr="00594819">
                <w:rPr>
                  <w:rFonts w:ascii="Cambria" w:hAnsi="Cambria"/>
                  <w:color w:val="000000"/>
                  <w:sz w:val="22"/>
                  <w:szCs w:val="22"/>
                  <w:vertAlign w:val="superscript"/>
                  <w:lang w:eastAsia="it-IT"/>
                </w:rPr>
                <w:t>2</w:t>
              </w:r>
            </w:smartTag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(</w:t>
            </w:r>
            <w:proofErr w:type="spellStart"/>
            <w:proofErr w:type="gram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вул.Степана</w:t>
            </w:r>
            <w:proofErr w:type="spellEnd"/>
            <w:proofErr w:type="gram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Бандери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, 59). В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ЦНАПі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укомплектовано 7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робочих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місць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для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адміністраторів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. </w:t>
            </w:r>
          </w:p>
          <w:p w:rsidR="00EF04E8" w:rsidRPr="00594819" w:rsidRDefault="00EF04E8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На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даний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час,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ЦНАПом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надається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суб’єктам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звернень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– 38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адміністративні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послуги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виключно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виконавчих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органів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Рівненської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міської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ради.</w:t>
            </w:r>
          </w:p>
          <w:p w:rsidR="00EF04E8" w:rsidRPr="00594819" w:rsidRDefault="00EF04E8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З метою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забезпечення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виконання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розпорядження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Кабінету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Міністрів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України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від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16.05.2014 № 523 “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Деякі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питання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надання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адміністративних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послуг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органів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виконавчої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влади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через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центри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надання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адміністративних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послуг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”</w:t>
            </w:r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виконавчим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комітетом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Рівненської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міської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ради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спільно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з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облдержадміністрацією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здійснюються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відповідні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організаційні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заходи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стосовно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розширення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матеріально-технічної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бази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для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розміщення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ЦНАПу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для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включення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переліку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надання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адміністративних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послуг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територіальних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органів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міністерств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відомств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через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міський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ЦНАП.</w:t>
            </w:r>
          </w:p>
        </w:tc>
      </w:tr>
      <w:tr w:rsidR="00EF04E8" w:rsidRPr="00594819" w:rsidTr="00833046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EF04E8" w:rsidRPr="00594819" w:rsidRDefault="00EF04E8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Очікувані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результати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354" w:type="dxa"/>
            <w:gridSpan w:val="5"/>
            <w:shd w:val="clear" w:color="auto" w:fill="FFFFFF"/>
            <w:vAlign w:val="center"/>
          </w:tcPr>
          <w:p w:rsidR="00EF04E8" w:rsidRPr="00594819" w:rsidRDefault="00EF04E8" w:rsidP="00EF04E8">
            <w:pPr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0" w:firstLine="0"/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Реалізація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вказаного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проекту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дасть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можливість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повноцінно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забезпечити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виконання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основних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вимог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Закону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України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“Про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адміністративні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послуги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”, постанови КМУ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від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01.08.2013 № 588 та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розпорядження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КМУ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від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16.05.2014 № 523.</w:t>
            </w:r>
          </w:p>
        </w:tc>
      </w:tr>
      <w:tr w:rsidR="00EF04E8" w:rsidRPr="00594819" w:rsidTr="00833046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EF04E8" w:rsidRPr="00594819" w:rsidRDefault="00EF04E8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Ключові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заходи проекту:</w:t>
            </w:r>
          </w:p>
        </w:tc>
        <w:tc>
          <w:tcPr>
            <w:tcW w:w="6354" w:type="dxa"/>
            <w:gridSpan w:val="5"/>
            <w:vAlign w:val="center"/>
          </w:tcPr>
          <w:p w:rsidR="00EF04E8" w:rsidRPr="00EF04E8" w:rsidRDefault="00EF04E8" w:rsidP="00EF04E8">
            <w:pPr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0" w:firstLine="0"/>
              <w:jc w:val="both"/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</w:pPr>
            <w:r w:rsidRPr="00EF04E8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Підготовка проектно-кошторисної документації на ремонт приміщення</w:t>
            </w:r>
          </w:p>
          <w:p w:rsidR="00EF04E8" w:rsidRPr="00EF04E8" w:rsidRDefault="00EF04E8" w:rsidP="00EF04E8">
            <w:pPr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0" w:firstLine="0"/>
              <w:jc w:val="both"/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</w:pPr>
            <w:r w:rsidRPr="00EF04E8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Проведення ремонту приміщення </w:t>
            </w:r>
            <w:proofErr w:type="spellStart"/>
            <w:r w:rsidRPr="00EF04E8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ЦНАПу</w:t>
            </w:r>
            <w:proofErr w:type="spellEnd"/>
          </w:p>
          <w:p w:rsidR="00EF04E8" w:rsidRPr="00EF04E8" w:rsidRDefault="00EF04E8" w:rsidP="00EF04E8">
            <w:pPr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0" w:firstLine="0"/>
              <w:jc w:val="both"/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</w:pPr>
            <w:r w:rsidRPr="00EF04E8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Закупівля і встановлення обладнання </w:t>
            </w:r>
            <w:proofErr w:type="spellStart"/>
            <w:r w:rsidRPr="00EF04E8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ЦНАПу</w:t>
            </w:r>
            <w:proofErr w:type="spellEnd"/>
          </w:p>
          <w:p w:rsidR="00EF04E8" w:rsidRPr="008C5F23" w:rsidRDefault="00EF04E8" w:rsidP="008C5F23">
            <w:pPr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0" w:firstLine="0"/>
              <w:jc w:val="both"/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</w:pPr>
            <w:r w:rsidRPr="00EF04E8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Навчання працівників </w:t>
            </w:r>
            <w:proofErr w:type="spellStart"/>
            <w:r w:rsidRPr="00EF04E8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ЦНАПу</w:t>
            </w:r>
            <w:proofErr w:type="spellEnd"/>
            <w:r w:rsidRPr="00EF04E8"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.</w:t>
            </w:r>
          </w:p>
        </w:tc>
      </w:tr>
      <w:tr w:rsidR="00EF04E8" w:rsidRPr="00594819" w:rsidTr="00833046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EF04E8" w:rsidRPr="00594819" w:rsidRDefault="00EF04E8" w:rsidP="009D14D9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Період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здійснення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354" w:type="dxa"/>
            <w:gridSpan w:val="5"/>
            <w:vAlign w:val="center"/>
          </w:tcPr>
          <w:p w:rsidR="00EF04E8" w:rsidRPr="00594819" w:rsidRDefault="00EF04E8" w:rsidP="00A910B6">
            <w:pP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20</w:t>
            </w:r>
            <w:r w:rsidR="005F2744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2</w:t>
            </w:r>
            <w:r w:rsidR="00A910B6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1</w:t>
            </w: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– 20</w:t>
            </w:r>
            <w:r w:rsidR="005F2744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2</w:t>
            </w:r>
            <w:r w:rsidR="00A910B6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4</w:t>
            </w: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роки:</w:t>
            </w:r>
          </w:p>
        </w:tc>
      </w:tr>
      <w:tr w:rsidR="00A910B6" w:rsidRPr="00594819" w:rsidTr="00833046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A910B6" w:rsidRPr="00594819" w:rsidRDefault="00A910B6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Орієнтовна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проекту, тис. грн.</w:t>
            </w:r>
          </w:p>
        </w:tc>
        <w:tc>
          <w:tcPr>
            <w:tcW w:w="1102" w:type="dxa"/>
            <w:shd w:val="clear" w:color="auto" w:fill="E6E6E6"/>
            <w:vAlign w:val="center"/>
          </w:tcPr>
          <w:p w:rsidR="00A910B6" w:rsidRPr="005F2744" w:rsidRDefault="00A910B6" w:rsidP="00A910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21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910B6" w:rsidRPr="005F2744" w:rsidRDefault="00A910B6" w:rsidP="00A910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22</w:t>
            </w:r>
          </w:p>
        </w:tc>
        <w:tc>
          <w:tcPr>
            <w:tcW w:w="1144" w:type="dxa"/>
            <w:shd w:val="clear" w:color="auto" w:fill="E6E6E6"/>
            <w:vAlign w:val="center"/>
          </w:tcPr>
          <w:p w:rsidR="00A910B6" w:rsidRPr="005F2744" w:rsidRDefault="00A910B6" w:rsidP="00A910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23</w:t>
            </w:r>
          </w:p>
        </w:tc>
        <w:tc>
          <w:tcPr>
            <w:tcW w:w="802" w:type="dxa"/>
            <w:shd w:val="clear" w:color="auto" w:fill="E6E6E6"/>
            <w:vAlign w:val="center"/>
          </w:tcPr>
          <w:p w:rsidR="00A910B6" w:rsidRPr="00833046" w:rsidRDefault="00833046" w:rsidP="00A910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2024</w:t>
            </w:r>
          </w:p>
        </w:tc>
        <w:tc>
          <w:tcPr>
            <w:tcW w:w="1605" w:type="dxa"/>
            <w:shd w:val="clear" w:color="auto" w:fill="E6E6E6"/>
            <w:vAlign w:val="center"/>
          </w:tcPr>
          <w:p w:rsidR="00A910B6" w:rsidRPr="00594819" w:rsidRDefault="00A910B6" w:rsidP="00A910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Разом</w:t>
            </w:r>
          </w:p>
        </w:tc>
      </w:tr>
      <w:tr w:rsidR="00A910B6" w:rsidRPr="00594819" w:rsidTr="00833046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A910B6" w:rsidRPr="00594819" w:rsidRDefault="00A910B6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910B6" w:rsidRPr="00594819" w:rsidRDefault="00A910B6" w:rsidP="009D14D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8000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10B6" w:rsidRPr="00594819" w:rsidRDefault="00A910B6" w:rsidP="009D14D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2000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A910B6" w:rsidRPr="00833046" w:rsidRDefault="00833046" w:rsidP="009D14D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1000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A910B6" w:rsidRPr="00833046" w:rsidRDefault="00833046" w:rsidP="00A910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1000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A910B6" w:rsidRPr="00594819" w:rsidRDefault="00A910B6" w:rsidP="0083304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1</w:t>
            </w:r>
            <w:r w:rsidR="00833046"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</w:t>
            </w: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000</w:t>
            </w:r>
          </w:p>
        </w:tc>
      </w:tr>
      <w:tr w:rsidR="00EF04E8" w:rsidRPr="00594819" w:rsidTr="00833046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EF04E8" w:rsidRPr="00594819" w:rsidRDefault="00EF04E8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Джерела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фінансування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354" w:type="dxa"/>
            <w:gridSpan w:val="5"/>
            <w:vAlign w:val="center"/>
          </w:tcPr>
          <w:p w:rsidR="00EF04E8" w:rsidRPr="00594819" w:rsidRDefault="00EF04E8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Державний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обласний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та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міський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бюджет м.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Рівне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кошти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проектів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та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програм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МТД,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кошти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інвесторів</w:t>
            </w:r>
            <w:proofErr w:type="spellEnd"/>
          </w:p>
        </w:tc>
      </w:tr>
      <w:tr w:rsidR="00EF04E8" w:rsidRPr="00594819" w:rsidTr="00833046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EF04E8" w:rsidRPr="00594819" w:rsidRDefault="00EF04E8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Ключові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потенційні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учасники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реалізації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354" w:type="dxa"/>
            <w:gridSpan w:val="5"/>
            <w:vAlign w:val="center"/>
          </w:tcPr>
          <w:p w:rsidR="00EF04E8" w:rsidRPr="00594819" w:rsidRDefault="00EF04E8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Облдержадміністрація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(департамент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економічного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розвитку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br/>
              <w:t xml:space="preserve">і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торгівлі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);</w:t>
            </w:r>
          </w:p>
          <w:p w:rsidR="00EF04E8" w:rsidRPr="00594819" w:rsidRDefault="00EF04E8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Виконавчий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комітет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Рівненської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міської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ради;</w:t>
            </w:r>
          </w:p>
          <w:p w:rsidR="00EF04E8" w:rsidRPr="00594819" w:rsidRDefault="00EF04E8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Територіальні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органи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міністерств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інших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центральних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органів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виконавчої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влади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суб’єкти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надання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адміністративних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послуг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</w:rPr>
              <w:t>);</w:t>
            </w:r>
          </w:p>
          <w:p w:rsidR="00EF04E8" w:rsidRPr="00594819" w:rsidRDefault="00EF04E8" w:rsidP="009D14D9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Причетні</w:t>
            </w:r>
            <w:proofErr w:type="spellEnd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установи та </w:t>
            </w:r>
            <w:proofErr w:type="spellStart"/>
            <w:r w:rsidRPr="00594819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>організації</w:t>
            </w:r>
            <w:proofErr w:type="spellEnd"/>
          </w:p>
        </w:tc>
      </w:tr>
      <w:tr w:rsidR="00EF04E8" w:rsidRPr="00594819" w:rsidTr="00833046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EF04E8" w:rsidRPr="00594819" w:rsidRDefault="00EF04E8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Інше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354" w:type="dxa"/>
            <w:gridSpan w:val="5"/>
            <w:vAlign w:val="center"/>
          </w:tcPr>
          <w:p w:rsidR="00EF04E8" w:rsidRPr="00594819" w:rsidRDefault="00EF04E8" w:rsidP="009D14D9">
            <w:pP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EF04E8" w:rsidRDefault="00EF04E8" w:rsidP="006F629F"/>
    <w:sectPr w:rsidR="00EF04E8" w:rsidSect="009D14D9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A1B"/>
    <w:multiLevelType w:val="hybridMultilevel"/>
    <w:tmpl w:val="812035B0"/>
    <w:lvl w:ilvl="0" w:tplc="26948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7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85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6C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84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A9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FA7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07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85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931119B"/>
    <w:multiLevelType w:val="hybridMultilevel"/>
    <w:tmpl w:val="FA02DAC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D2D8D"/>
    <w:multiLevelType w:val="hybridMultilevel"/>
    <w:tmpl w:val="7DACBE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1277C"/>
    <w:multiLevelType w:val="hybridMultilevel"/>
    <w:tmpl w:val="184465DC"/>
    <w:lvl w:ilvl="0" w:tplc="042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20005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20001">
      <w:start w:val="1"/>
      <w:numFmt w:val="upp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22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F05"/>
    <w:rsid w:val="0005197E"/>
    <w:rsid w:val="00061741"/>
    <w:rsid w:val="000B0B74"/>
    <w:rsid w:val="000C398D"/>
    <w:rsid w:val="000D0A38"/>
    <w:rsid w:val="000D7A44"/>
    <w:rsid w:val="000E6B52"/>
    <w:rsid w:val="00107A0F"/>
    <w:rsid w:val="001710DB"/>
    <w:rsid w:val="001B4568"/>
    <w:rsid w:val="001E0435"/>
    <w:rsid w:val="0023448C"/>
    <w:rsid w:val="002657B8"/>
    <w:rsid w:val="00276025"/>
    <w:rsid w:val="002B694B"/>
    <w:rsid w:val="002F7111"/>
    <w:rsid w:val="0030764E"/>
    <w:rsid w:val="003934CE"/>
    <w:rsid w:val="003C46EC"/>
    <w:rsid w:val="00404D5F"/>
    <w:rsid w:val="00416F05"/>
    <w:rsid w:val="00427AAA"/>
    <w:rsid w:val="00441BAC"/>
    <w:rsid w:val="00454F61"/>
    <w:rsid w:val="004C4A68"/>
    <w:rsid w:val="004D29F3"/>
    <w:rsid w:val="00593E43"/>
    <w:rsid w:val="005B7414"/>
    <w:rsid w:val="005C2249"/>
    <w:rsid w:val="005D1AC2"/>
    <w:rsid w:val="005F2744"/>
    <w:rsid w:val="0060684E"/>
    <w:rsid w:val="00680037"/>
    <w:rsid w:val="00691971"/>
    <w:rsid w:val="006957B8"/>
    <w:rsid w:val="006B0D57"/>
    <w:rsid w:val="006F629F"/>
    <w:rsid w:val="00790FB1"/>
    <w:rsid w:val="008122C0"/>
    <w:rsid w:val="00833046"/>
    <w:rsid w:val="008753C7"/>
    <w:rsid w:val="008A0587"/>
    <w:rsid w:val="008C5F23"/>
    <w:rsid w:val="008E68B8"/>
    <w:rsid w:val="009213AB"/>
    <w:rsid w:val="00970F83"/>
    <w:rsid w:val="009D14D9"/>
    <w:rsid w:val="00A74D14"/>
    <w:rsid w:val="00A75E77"/>
    <w:rsid w:val="00A909A5"/>
    <w:rsid w:val="00A910B6"/>
    <w:rsid w:val="00A93EED"/>
    <w:rsid w:val="00AA3BE4"/>
    <w:rsid w:val="00B5135D"/>
    <w:rsid w:val="00B839AD"/>
    <w:rsid w:val="00BD6A3B"/>
    <w:rsid w:val="00C014F0"/>
    <w:rsid w:val="00C221F1"/>
    <w:rsid w:val="00C2613A"/>
    <w:rsid w:val="00C832D7"/>
    <w:rsid w:val="00C8626C"/>
    <w:rsid w:val="00CB7D3E"/>
    <w:rsid w:val="00CD08FE"/>
    <w:rsid w:val="00CD3793"/>
    <w:rsid w:val="00D0608E"/>
    <w:rsid w:val="00DF211F"/>
    <w:rsid w:val="00E1009E"/>
    <w:rsid w:val="00E557B7"/>
    <w:rsid w:val="00EF04E8"/>
    <w:rsid w:val="00F07F69"/>
    <w:rsid w:val="00F7115B"/>
    <w:rsid w:val="00FA2BE6"/>
    <w:rsid w:val="00FA49D5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F0A58"/>
  <w15:docId w15:val="{16174AA3-827D-4808-9BDA-C37D15D7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0A38"/>
    <w:rPr>
      <w:rFonts w:eastAsia="Times New Roman"/>
      <w:sz w:val="24"/>
      <w:szCs w:val="24"/>
    </w:rPr>
  </w:style>
  <w:style w:type="paragraph" w:styleId="6">
    <w:name w:val="heading 6"/>
    <w:basedOn w:val="a"/>
    <w:next w:val="a"/>
    <w:qFormat/>
    <w:rsid w:val="00EF04E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C5F23"/>
    <w:rPr>
      <w:color w:val="0000FF"/>
      <w:u w:val="single"/>
    </w:rPr>
  </w:style>
  <w:style w:type="paragraph" w:styleId="a5">
    <w:name w:val="Plain Text"/>
    <w:basedOn w:val="a"/>
    <w:rsid w:val="008C5F23"/>
    <w:rPr>
      <w:rFonts w:ascii="Courier New" w:hAnsi="Courier New" w:cs="Courier New"/>
      <w:sz w:val="20"/>
      <w:szCs w:val="20"/>
      <w:lang w:val="en-US" w:eastAsia="en-US"/>
    </w:rPr>
  </w:style>
  <w:style w:type="character" w:styleId="a6">
    <w:name w:val="Emphasis"/>
    <w:uiPriority w:val="20"/>
    <w:qFormat/>
    <w:rsid w:val="00AA3BE4"/>
    <w:rPr>
      <w:i/>
      <w:iCs/>
    </w:rPr>
  </w:style>
  <w:style w:type="character" w:customStyle="1" w:styleId="apple-converted-space">
    <w:name w:val="apple-converted-space"/>
    <w:rsid w:val="00AA3BE4"/>
  </w:style>
  <w:style w:type="paragraph" w:customStyle="1" w:styleId="1">
    <w:name w:val="Абзац списка1"/>
    <w:basedOn w:val="a"/>
    <w:uiPriority w:val="99"/>
    <w:qFormat/>
    <w:rsid w:val="004D29F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rsid w:val="005F2744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 Знак Знак"/>
    <w:basedOn w:val="a"/>
    <w:rsid w:val="005F2744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0D0A38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0D0A38"/>
    <w:pPr>
      <w:ind w:firstLine="902"/>
    </w:pPr>
    <w:rPr>
      <w:sz w:val="28"/>
      <w:lang w:val="uk-UA"/>
    </w:rPr>
  </w:style>
  <w:style w:type="paragraph" w:styleId="a9">
    <w:name w:val="Body Text Indent"/>
    <w:basedOn w:val="a"/>
    <w:rsid w:val="00A93EED"/>
    <w:pPr>
      <w:spacing w:after="120"/>
      <w:ind w:left="283"/>
    </w:pPr>
  </w:style>
  <w:style w:type="paragraph" w:customStyle="1" w:styleId="aa">
    <w:name w:val="Знак"/>
    <w:basedOn w:val="a"/>
    <w:rsid w:val="006B0D5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4355</Words>
  <Characters>2483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ЗБІР ІДЕЙ ПРОЕКТІВ</vt:lpstr>
      <vt:lpstr>ОГОЛОШЕННЯ ПРО ЗБІР ІДЕЙ ПРОЕКТІВ</vt:lpstr>
    </vt:vector>
  </TitlesOfParts>
  <Company>diakov.net</Company>
  <LinksUpToDate>false</LinksUpToDate>
  <CharactersWithSpaces>6825</CharactersWithSpaces>
  <SharedDoc>false</SharedDoc>
  <HLinks>
    <vt:vector size="6" baseType="variant"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mailto:ekonomika@volodymyrrada.gov.ua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ЗБІР ІДЕЙ ПРОЕКТІВ</dc:title>
  <dc:creator>vas</dc:creator>
  <cp:lastModifiedBy>Пользователь</cp:lastModifiedBy>
  <cp:revision>13</cp:revision>
  <cp:lastPrinted>2019-06-06T10:27:00Z</cp:lastPrinted>
  <dcterms:created xsi:type="dcterms:W3CDTF">2021-02-15T07:58:00Z</dcterms:created>
  <dcterms:modified xsi:type="dcterms:W3CDTF">2021-02-16T09:08:00Z</dcterms:modified>
</cp:coreProperties>
</file>