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9" w:rsidRPr="00406FEC" w:rsidRDefault="00477059" w:rsidP="001A77D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Заява</w:t>
      </w:r>
    </w:p>
    <w:p w:rsidR="00477059" w:rsidRDefault="00477059" w:rsidP="001A77D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визначення обсягу стратегічної екологічної оцінки </w:t>
      </w:r>
      <w:r w:rsidR="000D0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0D0FA9" w:rsidRPr="000D0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етальн</w:t>
      </w:r>
      <w:r w:rsidR="00D9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0D0FA9" w:rsidRPr="000D0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план</w:t>
      </w:r>
      <w:r w:rsidR="00D9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0D0FA9" w:rsidRPr="000D0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території </w:t>
      </w:r>
      <w:r w:rsidR="00790A08" w:rsidRP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будівництва та</w:t>
      </w:r>
      <w:r w:rsid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0A08" w:rsidRP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обслуговування складу мінеральних добрив, засобів</w:t>
      </w:r>
      <w:r w:rsid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0A08" w:rsidRP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захисту рослин та паливно-мастильних матеріалів</w:t>
      </w:r>
      <w:r w:rsid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м. </w:t>
      </w:r>
      <w:r w:rsidR="00790A08" w:rsidRP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Володимир-Волинський, вул. Наталії Ужвій, 23а,</w:t>
      </w:r>
      <w:r w:rsid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0A08" w:rsidRPr="00790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Волинської області</w:t>
      </w:r>
    </w:p>
    <w:p w:rsidR="00406FEC" w:rsidRDefault="00406FEC" w:rsidP="001A77D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7434C" w:rsidRPr="00406FEC" w:rsidRDefault="00D7434C" w:rsidP="001A77D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A3D00" w:rsidRPr="00406FEC" w:rsidRDefault="00FA3D00" w:rsidP="001A77D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Загальні положення</w:t>
      </w:r>
    </w:p>
    <w:p w:rsidR="0068299F" w:rsidRPr="00406FEC" w:rsidRDefault="006F3E99" w:rsidP="001A77D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Замовник</w:t>
      </w:r>
      <w:r w:rsidR="00FA3D00"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СЕО</w:t>
      </w:r>
      <w:r w:rsidR="00763320"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68299F" w:rsidRDefault="008D7221" w:rsidP="001A77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D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Володимир-Волинськ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8D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8D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8D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3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8D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вулиця Данила Галицького, 5, </w:t>
      </w:r>
      <w:r w:rsidR="00DF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 </w:t>
      </w:r>
      <w:r w:rsidRPr="008D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Володимир-Волинський, Волинська область, 44701</w:t>
      </w:r>
      <w:r w:rsidR="003F3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),</w:t>
      </w:r>
      <w:r w:rsidR="0040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299F" w:rsidRPr="0040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ЄДРПОУ: </w:t>
      </w:r>
      <w:r w:rsidRPr="008D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35387610.</w:t>
      </w:r>
      <w:r w:rsidR="00D8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151FC" w:rsidRPr="00406FEC" w:rsidRDefault="00FA3D00" w:rsidP="001A77D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uk-UA"/>
        </w:rPr>
      </w:pPr>
      <w:r w:rsidRPr="00406FE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uk-UA"/>
        </w:rPr>
        <w:t>Вид та основні цілі документу державного планування</w:t>
      </w:r>
    </w:p>
    <w:p w:rsidR="00621815" w:rsidRPr="00621815" w:rsidRDefault="008D7221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221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для будівництва та обслуговування складу мінеральних добрив,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221">
        <w:rPr>
          <w:rFonts w:ascii="Times New Roman" w:hAnsi="Times New Roman" w:cs="Times New Roman"/>
          <w:sz w:val="28"/>
          <w:szCs w:val="28"/>
          <w:lang w:val="uk-UA"/>
        </w:rPr>
        <w:t>засобів захисту рослин та паливно-мастильних матеріалів в м. Володимир-Волинський,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221">
        <w:rPr>
          <w:rFonts w:ascii="Times New Roman" w:hAnsi="Times New Roman" w:cs="Times New Roman"/>
          <w:sz w:val="28"/>
          <w:szCs w:val="28"/>
          <w:lang w:val="uk-UA"/>
        </w:rPr>
        <w:t>Наталії Ужвій, 23а, Волинської області розроблений згідно з рішенням Володимир-Волинської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221">
        <w:rPr>
          <w:rFonts w:ascii="Times New Roman" w:hAnsi="Times New Roman" w:cs="Times New Roman"/>
          <w:sz w:val="28"/>
          <w:szCs w:val="28"/>
          <w:lang w:val="uk-UA"/>
        </w:rPr>
        <w:t>міської ради від 12.12.2019р. № 35/20, відповідно до вимог ДБН Б.2.2-12:2019 "Планування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221">
        <w:rPr>
          <w:rFonts w:ascii="Times New Roman" w:hAnsi="Times New Roman" w:cs="Times New Roman"/>
          <w:sz w:val="28"/>
          <w:szCs w:val="28"/>
          <w:lang w:val="uk-UA"/>
        </w:rPr>
        <w:t xml:space="preserve">забудова територій". </w:t>
      </w:r>
      <w:r w:rsidR="00A53D91" w:rsidRPr="00A53D91">
        <w:rPr>
          <w:rFonts w:ascii="Times New Roman" w:hAnsi="Times New Roman" w:cs="Times New Roman"/>
          <w:sz w:val="28"/>
          <w:szCs w:val="28"/>
          <w:lang w:val="uk-UA"/>
        </w:rPr>
        <w:t>В проекті опрацьовано планувальне рішення викори</w:t>
      </w:r>
      <w:r w:rsidR="00A53D91">
        <w:rPr>
          <w:rFonts w:ascii="Times New Roman" w:hAnsi="Times New Roman" w:cs="Times New Roman"/>
          <w:sz w:val="28"/>
          <w:szCs w:val="28"/>
          <w:lang w:val="uk-UA"/>
        </w:rPr>
        <w:t xml:space="preserve">стання території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0,8093га</w:t>
      </w:r>
      <w:r w:rsidR="00B66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815" w:rsidRPr="00621815" w:rsidRDefault="00621815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815">
        <w:rPr>
          <w:rFonts w:ascii="Times New Roman" w:hAnsi="Times New Roman" w:cs="Times New Roman"/>
          <w:sz w:val="28"/>
          <w:szCs w:val="28"/>
          <w:lang w:val="uk-UA"/>
        </w:rPr>
        <w:t>Детальний план є містобудівною документацією місцевого рівня, яка визначає функціональне призначення, параметри забудови земельної ділянки з метою розміщення об’єкту будівництва, формування принципів планувальної організації забудови, уточнення в більш крупному масштабі положень схеми планування території району, визначення планувальних об</w:t>
      </w:r>
      <w:r w:rsidR="00455F8A">
        <w:rPr>
          <w:rFonts w:ascii="Times New Roman" w:hAnsi="Times New Roman" w:cs="Times New Roman"/>
          <w:sz w:val="28"/>
          <w:szCs w:val="28"/>
          <w:lang w:val="uk-UA"/>
        </w:rPr>
        <w:t xml:space="preserve">межень  використання території </w:t>
      </w:r>
      <w:r w:rsidRPr="00621815">
        <w:rPr>
          <w:rFonts w:ascii="Times New Roman" w:hAnsi="Times New Roman" w:cs="Times New Roman"/>
          <w:sz w:val="28"/>
          <w:szCs w:val="28"/>
          <w:lang w:val="uk-UA"/>
        </w:rPr>
        <w:t>згідно з державними будівельними та санітарно-гігієнічними нормами, формування пропозицій щодо можливого розташування об’єкту з користування надрами в межах однієї проектної території із дотриманням вимог містобудівного, санітарного, екологічного, природоохоронного, протипожежного та іншого законодавства з метою залучення інвестицій згідно інтересів територіальної громади, заходів щодо реалізації містобудівної політики розвитку території району, згідно п.4.1. ДБН Б.1.1-14:2012 «Склад та зміст детального плану території»; визначення містобудівних умов та обмежень забудови земельної ділянки.</w:t>
      </w:r>
    </w:p>
    <w:p w:rsidR="007234EB" w:rsidRDefault="007234E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34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Детальний план розроблений в межах структурно-планувального елементу </w:t>
      </w:r>
      <w:r w:rsidR="008D72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7234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межа</w:t>
      </w:r>
      <w:r w:rsidR="008D72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</w:t>
      </w:r>
      <w:r w:rsidRPr="007234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території населеного пункту, який має</w:t>
      </w:r>
      <w:r w:rsidR="008D72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цілісний планувальний характер, узгоджується з Генеральним планом м. Володимир Волинський</w:t>
      </w:r>
    </w:p>
    <w:p w:rsidR="008D7221" w:rsidRDefault="008D7221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D72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План існуючого використання території суміщений з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D72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опорним планом та схемою планувальних обмежень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8D72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Детальним планом територія проектування віднесена до зони промислової забудови.</w:t>
      </w:r>
    </w:p>
    <w:p w:rsidR="00FE6803" w:rsidRPr="0075436B" w:rsidRDefault="00FE6803" w:rsidP="00FE68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E68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Проектна територія знаходиться в північній частині м. Володимир-Волинський. Система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FE68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обслуговування населення ДПТ не передбачається.</w:t>
      </w:r>
    </w:p>
    <w:p w:rsidR="00954A9D" w:rsidRPr="00406FEC" w:rsidRDefault="00954A9D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bCs/>
          <w:sz w:val="28"/>
          <w:szCs w:val="28"/>
          <w:lang w:val="uk-UA"/>
        </w:rPr>
        <w:t>Розроблення детального плану території забезпечить планувальну організацію цієї території, визначення організації, просторової композиції, параметрів забудови та ландшафтної організації ділянки для ефективного використання відповідно до цільового призначення.</w:t>
      </w:r>
    </w:p>
    <w:p w:rsid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Проект розробл</w:t>
      </w:r>
      <w:r w:rsidR="003F3539">
        <w:rPr>
          <w:rFonts w:ascii="Times New Roman" w:hAnsi="Times New Roman" w:cs="Times New Roman"/>
          <w:color w:val="000000"/>
          <w:sz w:val="28"/>
          <w:szCs w:val="28"/>
          <w:lang w:val="uk-UA"/>
        </w:rPr>
        <w:t>яється у відповідно до</w:t>
      </w: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3F3539"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</w:t>
      </w:r>
      <w:r w:rsidR="003F353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</w:t>
      </w:r>
      <w:r w:rsidR="003F35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кодекс</w:t>
      </w:r>
      <w:r w:rsidR="003F35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3F353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регулювання містобудівної діяльності»;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охорону атмосферного повітря»;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охорону навколишнього природного середовища»;</w:t>
      </w:r>
    </w:p>
    <w:p w:rsid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оцінку впливу на довкілля»;</w:t>
      </w:r>
    </w:p>
    <w:p w:rsidR="00FC438D" w:rsidRPr="00CC66AF" w:rsidRDefault="00FC438D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Закону України «Про стратегічну екологічну оцінку»;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природно-заповідний фонд України»;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екологічну мережу України»;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охорону земель»;</w:t>
      </w:r>
    </w:p>
    <w:p w:rsidR="00CC66AF" w:rsidRPr="00CC66AF" w:rsidRDefault="00811BB5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-Закон </w:t>
      </w:r>
      <w:r w:rsidR="00CC66AF"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 «Про рослинний світ»;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тваринний світ»;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-Закону України «Про рибне господарство, промислове рибальство та охорону водних біоресурсів»;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-ДБН Б.2.2-12:2018  «Планування і забудова територій»;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-ДБН Б.2.2-5:2011 «Благоустрій територій»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-ДСП -173 «Державні санітарні правила планування та забудови населених пунктів»;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-ДБН В.2.3-5:2018 «Вулиці та дороги населених пунктів»;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-ДБН Б.1.1-14:2012 «Склад та зміст детального плану території»;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-ДБН А.2.2-1-2003 «Склад і зміст матеріалів оцінки впливів на навколишнє середовище (ОВНС) при проектуванні і будівництві підприємств, будинків і споруд»;</w:t>
      </w:r>
    </w:p>
    <w:p w:rsidR="00CC66AF" w:rsidRP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-ДБН В.2.5-74:2013 «Водопостачання. Зовнішні мережі та споруди. Основні положення проектування»;</w:t>
      </w:r>
    </w:p>
    <w:p w:rsid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-ДБН В.2.5-75:2013 «Каналізація. Зовнішні мережі та споруди. Основні положення проектування»;</w:t>
      </w:r>
    </w:p>
    <w:p w:rsidR="005D554B" w:rsidRDefault="005D554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ДБН А.3.1-5:2016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будівельного виробництва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ДСТУ-Н Б Б.1-1-12:2011 «Настанова про склад та зміст плану зонування території (зонінг)»</w:t>
      </w:r>
      <w:r w:rsid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D554B" w:rsidRDefault="005D554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ДСТУ-Н Б В.2.5-68:2012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Настанова з будівництва, монтажу та контролю якості трубопроводів зовнішніх мереж водопостачання та каналізації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5D554B" w:rsidRDefault="005D554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ДСТУ Б В.2.5-32:2007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Інженерне обладнання будинків і спо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руд. Зовнішні мережі та споруди»;</w:t>
      </w:r>
    </w:p>
    <w:p w:rsidR="005D554B" w:rsidRDefault="005D554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ДСТУ-Н Б В.2.1-28:2013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Настанова щодо проведення земляних робіт та улаштування основ і фундаментів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5D554B" w:rsidRDefault="005D554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ДБН А.3.2-2-2009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5D55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стандартів безпеки праці. Охорона праці і промислова безпека у будівництві. Основні положення (НПАОП 45.2-7.02-12)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6AF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-Державних санітарних правил охорони атмосферного повітря населених місць (від забруднення хімічними та біоло</w:t>
      </w:r>
      <w:r w:rsidR="00B66A3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гічними речовинами), ДСП 201-97.</w:t>
      </w:r>
    </w:p>
    <w:p w:rsidR="007234EB" w:rsidRPr="007234EB" w:rsidRDefault="007234E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34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проекті враховані основні рішення генплану </w:t>
      </w:r>
      <w:r w:rsidR="0075436B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Володимир Волинський</w:t>
      </w:r>
      <w:r w:rsidR="00A8377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234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схеми планування </w:t>
      </w:r>
      <w:r w:rsidR="0075436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Волинської області</w:t>
      </w:r>
      <w:r w:rsidRPr="007234E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66AF" w:rsidRDefault="00CC66A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849" w:rsidRPr="00406FEC" w:rsidRDefault="00DE5B41" w:rsidP="001A77DC">
      <w:pPr>
        <w:pStyle w:val="af1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406FEC"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Інформація про те, якою мірою документ державного планування визначає умови для реалізації видів діяльності або об’єктів, щодо яких </w:t>
      </w:r>
      <w:r w:rsidRPr="00406FEC"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lastRenderedPageBreak/>
        <w:t>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ресурсів):</w:t>
      </w:r>
    </w:p>
    <w:p w:rsidR="006845B9" w:rsidRDefault="0075436B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5436B">
        <w:rPr>
          <w:sz w:val="28"/>
          <w:szCs w:val="28"/>
          <w:lang w:val="uk-UA"/>
        </w:rPr>
        <w:t>Детальний план території для будівництва та обслуговування складу мінеральних добрив,</w:t>
      </w:r>
      <w:r w:rsidR="00FE6803">
        <w:rPr>
          <w:sz w:val="28"/>
          <w:szCs w:val="28"/>
          <w:lang w:val="uk-UA"/>
        </w:rPr>
        <w:t xml:space="preserve"> </w:t>
      </w:r>
      <w:r w:rsidRPr="0075436B">
        <w:rPr>
          <w:sz w:val="28"/>
          <w:szCs w:val="28"/>
          <w:lang w:val="uk-UA"/>
        </w:rPr>
        <w:t>засобів захисту рослин та паливно-мастильних матеріалів в м. Володимир-Волинський, вул.</w:t>
      </w:r>
      <w:r w:rsidR="00FE6803">
        <w:rPr>
          <w:sz w:val="28"/>
          <w:szCs w:val="28"/>
          <w:lang w:val="uk-UA"/>
        </w:rPr>
        <w:t> </w:t>
      </w:r>
      <w:r w:rsidRPr="0075436B">
        <w:rPr>
          <w:sz w:val="28"/>
          <w:szCs w:val="28"/>
          <w:lang w:val="uk-UA"/>
        </w:rPr>
        <w:t>Наталії Ужвій, 23а, Волинської області</w:t>
      </w:r>
      <w:r w:rsidR="00A8377C" w:rsidRPr="00A8377C">
        <w:rPr>
          <w:sz w:val="28"/>
          <w:szCs w:val="28"/>
          <w:lang w:val="uk-UA"/>
        </w:rPr>
        <w:t>, розробляється відповідно до чинного законодавства з використанням матеріалів містобудівного та земельного кадастрів</w:t>
      </w:r>
      <w:r w:rsidR="006845B9" w:rsidRPr="006845B9">
        <w:rPr>
          <w:sz w:val="28"/>
          <w:szCs w:val="28"/>
          <w:lang w:val="uk-UA"/>
        </w:rPr>
        <w:t xml:space="preserve"> узгоджується з</w:t>
      </w:r>
      <w:r w:rsidR="00DF1390">
        <w:rPr>
          <w:sz w:val="28"/>
          <w:szCs w:val="28"/>
          <w:lang w:val="uk-UA"/>
        </w:rPr>
        <w:t xml:space="preserve"> Генеральним планом </w:t>
      </w:r>
      <w:r>
        <w:rPr>
          <w:sz w:val="28"/>
          <w:szCs w:val="28"/>
          <w:lang w:val="uk-UA"/>
        </w:rPr>
        <w:t>м. Володимир Волинський</w:t>
      </w:r>
      <w:r w:rsidR="00DF1390">
        <w:rPr>
          <w:sz w:val="28"/>
          <w:szCs w:val="28"/>
          <w:lang w:val="uk-UA"/>
        </w:rPr>
        <w:t>,</w:t>
      </w:r>
      <w:r w:rsidR="006845B9" w:rsidRPr="006845B9">
        <w:rPr>
          <w:sz w:val="28"/>
          <w:szCs w:val="28"/>
          <w:lang w:val="uk-UA"/>
        </w:rPr>
        <w:t xml:space="preserve"> </w:t>
      </w:r>
      <w:r w:rsidR="00A8377C" w:rsidRPr="00A8377C">
        <w:rPr>
          <w:sz w:val="28"/>
          <w:szCs w:val="28"/>
          <w:lang w:val="uk-UA"/>
        </w:rPr>
        <w:t>Стратегі</w:t>
      </w:r>
      <w:r w:rsidR="00842A6B">
        <w:rPr>
          <w:sz w:val="28"/>
          <w:szCs w:val="28"/>
          <w:lang w:val="uk-UA"/>
        </w:rPr>
        <w:t>ї</w:t>
      </w:r>
      <w:r w:rsidR="00A8377C" w:rsidRPr="00A8377C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Волинської області </w:t>
      </w:r>
      <w:r w:rsidR="00A8377C" w:rsidRPr="00A8377C">
        <w:rPr>
          <w:sz w:val="28"/>
          <w:szCs w:val="28"/>
          <w:lang w:val="uk-UA"/>
        </w:rPr>
        <w:t>на період до 2027 року</w:t>
      </w:r>
      <w:r w:rsidR="006845B9" w:rsidRPr="006845B9">
        <w:rPr>
          <w:sz w:val="28"/>
          <w:szCs w:val="28"/>
          <w:lang w:val="uk-UA"/>
        </w:rPr>
        <w:t>.</w:t>
      </w:r>
    </w:p>
    <w:p w:rsidR="00B202F7" w:rsidRDefault="00B202F7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ДПТ</w:t>
      </w:r>
      <w:r w:rsidRPr="00B202F7">
        <w:rPr>
          <w:sz w:val="28"/>
          <w:szCs w:val="28"/>
          <w:lang w:val="uk-UA"/>
        </w:rPr>
        <w:t xml:space="preserve"> земельн</w:t>
      </w:r>
      <w:r w:rsidR="00842A6B">
        <w:rPr>
          <w:sz w:val="28"/>
          <w:szCs w:val="28"/>
          <w:lang w:val="uk-UA"/>
        </w:rPr>
        <w:t>ої</w:t>
      </w:r>
      <w:r w:rsidRPr="00B202F7">
        <w:rPr>
          <w:sz w:val="28"/>
          <w:szCs w:val="28"/>
          <w:lang w:val="uk-UA"/>
        </w:rPr>
        <w:t xml:space="preserve"> ділян</w:t>
      </w:r>
      <w:r w:rsidR="00842A6B">
        <w:rPr>
          <w:sz w:val="28"/>
          <w:szCs w:val="28"/>
          <w:lang w:val="uk-UA"/>
        </w:rPr>
        <w:t xml:space="preserve">ки </w:t>
      </w:r>
      <w:r w:rsidR="0075436B" w:rsidRPr="0075436B">
        <w:rPr>
          <w:sz w:val="28"/>
          <w:szCs w:val="28"/>
          <w:lang w:val="uk-UA"/>
        </w:rPr>
        <w:t>розробляється з метою визначення планувальних обмежень</w:t>
      </w:r>
      <w:r w:rsidR="0075436B">
        <w:rPr>
          <w:sz w:val="28"/>
          <w:szCs w:val="28"/>
          <w:lang w:val="uk-UA"/>
        </w:rPr>
        <w:t xml:space="preserve"> </w:t>
      </w:r>
      <w:r w:rsidR="0075436B" w:rsidRPr="0075436B">
        <w:rPr>
          <w:sz w:val="28"/>
          <w:szCs w:val="28"/>
          <w:lang w:val="uk-UA"/>
        </w:rPr>
        <w:t>та параметрів забудови однієї земельної ділянки, площею 0,8093га, згідно з державними</w:t>
      </w:r>
      <w:r w:rsidR="0075436B">
        <w:rPr>
          <w:sz w:val="28"/>
          <w:szCs w:val="28"/>
          <w:lang w:val="uk-UA"/>
        </w:rPr>
        <w:t xml:space="preserve"> </w:t>
      </w:r>
      <w:r w:rsidR="0075436B" w:rsidRPr="0075436B">
        <w:rPr>
          <w:sz w:val="28"/>
          <w:szCs w:val="28"/>
          <w:lang w:val="uk-UA"/>
        </w:rPr>
        <w:t>будівельними та санітарно-гігієнічними нормами.</w:t>
      </w:r>
    </w:p>
    <w:p w:rsidR="0075436B" w:rsidRPr="0075436B" w:rsidRDefault="0075436B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5436B">
        <w:rPr>
          <w:sz w:val="28"/>
          <w:szCs w:val="28"/>
          <w:lang w:val="uk-UA"/>
        </w:rPr>
        <w:t xml:space="preserve">Територія, що підлягає детальному плануванню, знаходиться на території м. Володимир-Волинський та складається з 1 ділянки (0710200000:01:002:4979; </w:t>
      </w:r>
      <w:r>
        <w:rPr>
          <w:sz w:val="28"/>
          <w:szCs w:val="28"/>
          <w:lang w:val="uk-UA"/>
        </w:rPr>
        <w:t>ц</w:t>
      </w:r>
      <w:r w:rsidRPr="0075436B">
        <w:rPr>
          <w:sz w:val="28"/>
          <w:szCs w:val="28"/>
          <w:lang w:val="uk-UA"/>
        </w:rPr>
        <w:t>ільове призначення: для розміщення та експлуатації основних, підсобних і допоміжних будівель та споруд підприємств переробної, машинобудівної та іншої промисловості J.11.02</w:t>
      </w:r>
      <w:r>
        <w:rPr>
          <w:sz w:val="28"/>
          <w:szCs w:val="28"/>
          <w:lang w:val="uk-UA"/>
        </w:rPr>
        <w:t xml:space="preserve">; </w:t>
      </w:r>
      <w:r w:rsidRPr="0075436B">
        <w:rPr>
          <w:sz w:val="28"/>
          <w:szCs w:val="28"/>
          <w:lang w:val="uk-UA"/>
        </w:rPr>
        <w:t xml:space="preserve">Площа: 0.8093 га). </w:t>
      </w:r>
    </w:p>
    <w:p w:rsidR="0075436B" w:rsidRPr="0075436B" w:rsidRDefault="0075436B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5436B">
        <w:rPr>
          <w:sz w:val="28"/>
          <w:szCs w:val="28"/>
          <w:lang w:val="uk-UA"/>
        </w:rPr>
        <w:t>Рельєф ділянки з помірним ухилом у північно-західному напрямку. Перепад горизонталей</w:t>
      </w:r>
      <w:r w:rsidR="001A77DC">
        <w:rPr>
          <w:sz w:val="28"/>
          <w:szCs w:val="28"/>
          <w:lang w:val="uk-UA"/>
        </w:rPr>
        <w:t xml:space="preserve"> </w:t>
      </w:r>
      <w:r w:rsidRPr="0075436B">
        <w:rPr>
          <w:sz w:val="28"/>
          <w:szCs w:val="28"/>
          <w:lang w:val="uk-UA"/>
        </w:rPr>
        <w:t>складає 1,57м (196,45 – 198,02). Відповідно до генерального плану м. Володимир-Волинський</w:t>
      </w:r>
      <w:r w:rsidR="001A77DC">
        <w:rPr>
          <w:sz w:val="28"/>
          <w:szCs w:val="28"/>
          <w:lang w:val="uk-UA"/>
        </w:rPr>
        <w:t xml:space="preserve"> </w:t>
      </w:r>
      <w:r w:rsidRPr="0075436B">
        <w:rPr>
          <w:sz w:val="28"/>
          <w:szCs w:val="28"/>
          <w:lang w:val="uk-UA"/>
        </w:rPr>
        <w:t>земельна ділянка передбачена під комерційну забудову.</w:t>
      </w:r>
    </w:p>
    <w:p w:rsidR="0075436B" w:rsidRPr="0075436B" w:rsidRDefault="0075436B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5436B">
        <w:rPr>
          <w:sz w:val="28"/>
          <w:szCs w:val="28"/>
          <w:lang w:val="uk-UA"/>
        </w:rPr>
        <w:t>З півночі, заходу та сходу земельна ділянка межує з землями промисловості, з півдня –</w:t>
      </w:r>
      <w:r w:rsidR="001A77DC">
        <w:rPr>
          <w:sz w:val="28"/>
          <w:szCs w:val="28"/>
          <w:lang w:val="uk-UA"/>
        </w:rPr>
        <w:t xml:space="preserve"> </w:t>
      </w:r>
      <w:r w:rsidRPr="0075436B">
        <w:rPr>
          <w:sz w:val="28"/>
          <w:szCs w:val="28"/>
          <w:lang w:val="uk-UA"/>
        </w:rPr>
        <w:t>землями загального користування.</w:t>
      </w:r>
    </w:p>
    <w:p w:rsidR="001A77DC" w:rsidRDefault="0075436B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5436B">
        <w:rPr>
          <w:sz w:val="28"/>
          <w:szCs w:val="28"/>
          <w:lang w:val="uk-UA"/>
        </w:rPr>
        <w:t xml:space="preserve">Конфігурація проектної ділянки має складну форму. </w:t>
      </w:r>
    </w:p>
    <w:p w:rsidR="0075436B" w:rsidRDefault="0075436B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5436B">
        <w:rPr>
          <w:sz w:val="28"/>
          <w:szCs w:val="28"/>
          <w:lang w:val="uk-UA"/>
        </w:rPr>
        <w:t>Навколишні будівлі збудовані по традиційній схемі (залізобетонний фундамент, цегляні</w:t>
      </w:r>
      <w:r w:rsidR="001A77DC">
        <w:rPr>
          <w:sz w:val="28"/>
          <w:szCs w:val="28"/>
          <w:lang w:val="uk-UA"/>
        </w:rPr>
        <w:t xml:space="preserve"> </w:t>
      </w:r>
      <w:r w:rsidRPr="0075436B">
        <w:rPr>
          <w:sz w:val="28"/>
          <w:szCs w:val="28"/>
          <w:lang w:val="uk-UA"/>
        </w:rPr>
        <w:t>(газобетонні) стіни, дерев'яне (з/б) перекриття, скатні дахи по металевих (дерев'яних балках).</w:t>
      </w:r>
    </w:p>
    <w:p w:rsid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В межах земельної ділянки присутня будівля складу для зберігання сільськогосподарської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продукції з вагою, підсобними приміщеннями (№1 по ДПТ).</w:t>
      </w:r>
    </w:p>
    <w:p w:rsidR="0075436B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Відомості щодо розміщення об’єкта у межах зон охорони пам’яток культурної спадщини</w:t>
      </w:r>
      <w:r>
        <w:rPr>
          <w:sz w:val="28"/>
          <w:szCs w:val="28"/>
          <w:lang w:val="uk-UA"/>
        </w:rPr>
        <w:t xml:space="preserve">, станом на сьогодні, </w:t>
      </w:r>
      <w:r w:rsidRPr="001A77DC">
        <w:rPr>
          <w:sz w:val="28"/>
          <w:szCs w:val="28"/>
          <w:lang w:val="uk-UA"/>
        </w:rPr>
        <w:t>відсутні.</w:t>
      </w:r>
    </w:p>
    <w:p w:rsid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Відомості про інженерні мережі, які можливо підведені до ділянки проектування: через ділянку проходить підземний кабель електропостачання, напругою 0,4кВ.</w:t>
      </w:r>
    </w:p>
    <w:p w:rsidR="001A77DC" w:rsidRP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На ділянці, що проектується, виявлені наступні планувальні обмеження:</w:t>
      </w:r>
    </w:p>
    <w:p w:rsidR="001A77DC" w:rsidRP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- межі ділянки проектування та сусідніх землекористувачів;</w:t>
      </w:r>
    </w:p>
    <w:p w:rsidR="001A77DC" w:rsidRP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- охоронна зона від підземного кабелю електропостачання, напругою 0,4кВ становить 0,6м в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обидві сторони від кабелю;</w:t>
      </w:r>
    </w:p>
    <w:p w:rsidR="001A77DC" w:rsidRP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- санітарно-захисна зона від будівлі складу для зберігання сільськогосподарської продукції з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вагою, підсобними приміщеннями становить 50м (ДСП 173-96);</w:t>
      </w:r>
    </w:p>
    <w:p w:rsidR="001A77DC" w:rsidRP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- протипожежні розриви від існуючих будівель.</w:t>
      </w:r>
    </w:p>
    <w:p w:rsid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Інші планувальні обмеження відсутні.</w:t>
      </w:r>
    </w:p>
    <w:p w:rsidR="001A77DC" w:rsidRDefault="001A77DC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lastRenderedPageBreak/>
        <w:t>Територія опрацювання має сформовану вуличну мережу. Транспортна доступність до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території проектування ДПТ здійснюється з вулиці, яка безпосередньо примикає до території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проектування</w:t>
      </w:r>
      <w:r>
        <w:rPr>
          <w:sz w:val="28"/>
          <w:szCs w:val="28"/>
          <w:lang w:val="uk-UA"/>
        </w:rPr>
        <w:t>.</w:t>
      </w:r>
    </w:p>
    <w:p w:rsidR="001A77DC" w:rsidRDefault="001A77DC" w:rsidP="00FE6803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Розподіл території за функціональним використанням базується на планувальних рішеннях,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направлених на формування нового якісного архітектурно-планувального середовища, що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сприятиме підвищенню комфорту населення даного регіону</w:t>
      </w:r>
      <w:r>
        <w:rPr>
          <w:sz w:val="28"/>
          <w:szCs w:val="28"/>
          <w:lang w:val="uk-UA"/>
        </w:rPr>
        <w:t>.</w:t>
      </w:r>
    </w:p>
    <w:p w:rsidR="001A77DC" w:rsidRDefault="001A77DC" w:rsidP="0087240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77DC">
        <w:rPr>
          <w:sz w:val="28"/>
          <w:szCs w:val="28"/>
          <w:lang w:val="uk-UA"/>
        </w:rPr>
        <w:t>Земельна ділянка для будівництва та обслуговування складу мінеральних добрив, засобів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захисту рослин та паливно-мастильних матеріалів займає площу 0,8093га, що дозволяє відповідно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до норм запроектувати на території будівлю складу мінеральних добрив, засобів захисту рослин та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паливно-мастильних матеріалів (№2 по ДПТ) (допустима кількість становить пестицидів та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мінеральних добрив: 1) пестицидів до 100т; 2) мінеральних добрив І типу до 100т; 3) мінеральних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добрив ІІ типу до 200т; 4) мінеральних добрив ІІІ типу до 500т; 5) мінеральних добрив ІV типу до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2000т), протипожежні резервуари (№3 по ДПТ), трубчастий колодязь (№4 по ДПТ), герметичний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септик (№5 по ДПТ), очисні споруди дощових та талих вод, а також місця для паркування та</w:t>
      </w:r>
      <w:r>
        <w:rPr>
          <w:sz w:val="28"/>
          <w:szCs w:val="28"/>
          <w:lang w:val="uk-UA"/>
        </w:rPr>
        <w:t xml:space="preserve"> </w:t>
      </w:r>
      <w:r w:rsidRPr="001A77DC">
        <w:rPr>
          <w:sz w:val="28"/>
          <w:szCs w:val="28"/>
          <w:lang w:val="uk-UA"/>
        </w:rPr>
        <w:t>зберігання автомобілів.</w:t>
      </w:r>
    </w:p>
    <w:p w:rsidR="0087240C" w:rsidRPr="0087240C" w:rsidRDefault="0087240C" w:rsidP="0087240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7240C">
        <w:rPr>
          <w:sz w:val="28"/>
          <w:szCs w:val="28"/>
          <w:lang w:val="uk-UA"/>
        </w:rPr>
        <w:t>анітарно-захисна</w:t>
      </w:r>
      <w:r>
        <w:rPr>
          <w:sz w:val="28"/>
          <w:szCs w:val="28"/>
          <w:lang w:val="uk-UA"/>
        </w:rPr>
        <w:t xml:space="preserve"> </w:t>
      </w:r>
      <w:r w:rsidRPr="0087240C">
        <w:rPr>
          <w:sz w:val="28"/>
          <w:szCs w:val="28"/>
          <w:lang w:val="uk-UA"/>
        </w:rPr>
        <w:t>зона від будівлі складу для зберігання сільськогосподарської продукції з</w:t>
      </w:r>
    </w:p>
    <w:p w:rsidR="0087240C" w:rsidRDefault="0087240C" w:rsidP="0087240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7240C">
        <w:rPr>
          <w:sz w:val="28"/>
          <w:szCs w:val="28"/>
          <w:lang w:val="uk-UA"/>
        </w:rPr>
        <w:t>вагою, підсобними приміщеннями становить 50м (ДСП 173-96);</w:t>
      </w:r>
    </w:p>
    <w:p w:rsidR="00FE6803" w:rsidRPr="00FE6803" w:rsidRDefault="00FE6803" w:rsidP="00FE6803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E6803">
        <w:rPr>
          <w:sz w:val="28"/>
          <w:szCs w:val="28"/>
          <w:lang w:val="uk-UA"/>
        </w:rPr>
        <w:t xml:space="preserve">Володимир-Волинський </w:t>
      </w:r>
      <w:r>
        <w:rPr>
          <w:sz w:val="28"/>
          <w:szCs w:val="28"/>
          <w:lang w:val="uk-UA"/>
        </w:rPr>
        <w:t>–</w:t>
      </w:r>
      <w:r w:rsidRPr="00FE6803">
        <w:rPr>
          <w:sz w:val="28"/>
          <w:szCs w:val="28"/>
          <w:lang w:val="uk-UA"/>
        </w:rPr>
        <w:t xml:space="preserve"> місто обласного значення в Україні, центр Володимир-Волинського району Волинської області.</w:t>
      </w:r>
    </w:p>
    <w:p w:rsidR="00FE6803" w:rsidRPr="00FE6803" w:rsidRDefault="00FE6803" w:rsidP="00FE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>Місто розташоване в центрі Володимир-Волинського району, який розміщений в південно-західній частині Волинської області на північному заході України.</w:t>
      </w:r>
    </w:p>
    <w:p w:rsidR="00FE6803" w:rsidRPr="00FE6803" w:rsidRDefault="00FE6803" w:rsidP="00FE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>Володимир-Волинський розташований на правому березі річки Луги, на схилах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 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>Волинської височини, у природній зоні мішаних лісів.</w:t>
      </w:r>
    </w:p>
    <w:p w:rsidR="00FE6803" w:rsidRPr="00FE6803" w:rsidRDefault="00FE6803" w:rsidP="00FE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 xml:space="preserve"> Через південно-східну частину міста протікає права притока Луги — річка Риловиця.</w:t>
      </w:r>
    </w:p>
    <w:p w:rsidR="00FE6803" w:rsidRPr="00FE6803" w:rsidRDefault="00FE6803" w:rsidP="00FE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color w:val="FF0000"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Площа міста 17,0 км². В місті налічується 238 вулиць протяжністю </w:t>
      </w:r>
      <w:smartTag w:uri="urn:schemas-microsoft-com:office:smarttags" w:element="metricconverter">
        <w:smartTagPr>
          <w:attr w:name="ProductID" w:val="112 к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val="uk-UA" w:eastAsia="ru-RU"/>
          </w:rPr>
          <w:t>112 км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>.</w:t>
      </w:r>
    </w:p>
    <w:p w:rsidR="00FE6803" w:rsidRPr="00FE6803" w:rsidRDefault="00FE6803" w:rsidP="00FE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>Володимир-Волинський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 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 xml:space="preserve">знаходиться на відстані близько </w:t>
      </w:r>
      <w:smartTag w:uri="urn:schemas-microsoft-com:office:smarttags" w:element="metricconverter">
        <w:smartTagPr>
          <w:attr w:name="ProductID" w:val="14 к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eastAsia="ru-RU"/>
          </w:rPr>
          <w:t>14 км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 xml:space="preserve"> від кордону з Польщею і приблизно за </w:t>
      </w:r>
      <w:smartTag w:uri="urn:schemas-microsoft-com:office:smarttags" w:element="metricconverter">
        <w:smartTagPr>
          <w:attr w:name="ProductID" w:val="85 к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eastAsia="ru-RU"/>
          </w:rPr>
          <w:t>85 км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 xml:space="preserve"> від кордону з Білоруссю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>.</w:t>
      </w:r>
    </w:p>
    <w:p w:rsidR="00FE6803" w:rsidRPr="00FE6803" w:rsidRDefault="00FE6803" w:rsidP="00FE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>Координати міцезнаходження -50°50′53″ пн. ш. 24°19′20″ сх. д.</w:t>
      </w:r>
      <w:r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 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 xml:space="preserve">Висота над рівнем моря 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 </w:t>
      </w: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 xml:space="preserve">— </w:t>
      </w:r>
      <w:smartTag w:uri="urn:schemas-microsoft-com:office:smarttags" w:element="metricconverter">
        <w:smartTagPr>
          <w:attr w:name="ProductID" w:val="197 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eastAsia="ru-RU"/>
          </w:rPr>
          <w:t>197 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eastAsia="ru-RU"/>
        </w:rPr>
        <w:t>.</w:t>
      </w:r>
    </w:p>
    <w:p w:rsidR="00FE6803" w:rsidRPr="00FE6803" w:rsidRDefault="00FE6803" w:rsidP="00FE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Відстань до обласного центру – до міста Луцька:  автошляхами становить </w:t>
      </w:r>
      <w:smartTag w:uri="urn:schemas-microsoft-com:office:smarttags" w:element="metricconverter">
        <w:smartTagPr>
          <w:attr w:name="ProductID" w:val="77 к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val="uk-UA" w:eastAsia="ru-RU"/>
          </w:rPr>
          <w:t>77 км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.,. Фізична відстань становить </w:t>
      </w:r>
      <w:smartTag w:uri="urn:schemas-microsoft-com:office:smarttags" w:element="metricconverter">
        <w:smartTagPr>
          <w:attr w:name="ProductID" w:val="72 к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val="uk-UA" w:eastAsia="ru-RU"/>
          </w:rPr>
          <w:t>72 км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>.</w:t>
      </w:r>
    </w:p>
    <w:p w:rsidR="00FE6803" w:rsidRPr="00FE6803" w:rsidRDefault="00FE6803" w:rsidP="00B8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</w:pPr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Відстань до столиці - міста Києва:залізничними шляхами становить </w:t>
      </w:r>
      <w:smartTag w:uri="urn:schemas-microsoft-com:office:smarttags" w:element="metricconverter">
        <w:smartTagPr>
          <w:attr w:name="ProductID" w:val="506 к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val="uk-UA" w:eastAsia="ru-RU"/>
          </w:rPr>
          <w:t>506 км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, автошляхами </w:t>
      </w:r>
      <w:smartTag w:uri="urn:schemas-microsoft-com:office:smarttags" w:element="metricconverter">
        <w:smartTagPr>
          <w:attr w:name="ProductID" w:val="465 км"/>
        </w:smartTagPr>
        <w:r w:rsidRPr="00FE6803">
          <w:rPr>
            <w:rFonts w:ascii="Times New Roman" w:eastAsia="Times New Roman" w:hAnsi="Times New Roman" w:cs="Calibri-BoldItalic"/>
            <w:bCs/>
            <w:iCs/>
            <w:sz w:val="28"/>
            <w:szCs w:val="24"/>
            <w:lang w:val="uk-UA" w:eastAsia="ru-RU"/>
          </w:rPr>
          <w:t>465 км</w:t>
        </w:r>
      </w:smartTag>
      <w:r w:rsidRPr="00FE6803"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>. Фізична відстань до столиці України становить 441 км</w:t>
      </w:r>
      <w:r>
        <w:rPr>
          <w:rFonts w:ascii="Times New Roman" w:eastAsia="Times New Roman" w:hAnsi="Times New Roman" w:cs="Calibri-BoldItalic"/>
          <w:bCs/>
          <w:iCs/>
          <w:sz w:val="28"/>
          <w:szCs w:val="24"/>
          <w:lang w:val="uk-UA" w:eastAsia="ru-RU"/>
        </w:rPr>
        <w:t xml:space="preserve">. </w:t>
      </w:r>
    </w:p>
    <w:p w:rsidR="00FE6803" w:rsidRPr="00FE6803" w:rsidRDefault="00FE6803" w:rsidP="00B86664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E6803">
        <w:rPr>
          <w:sz w:val="28"/>
          <w:szCs w:val="28"/>
          <w:lang w:val="uk-UA"/>
        </w:rPr>
        <w:t>Клімат Володимира-Волинського помірно-континентальний, зима відносно м'яка з частими відлигами, літо помірно тепле та вологе, весна і осінь затяжні.</w:t>
      </w:r>
    </w:p>
    <w:p w:rsidR="00FE6803" w:rsidRPr="00FE6803" w:rsidRDefault="00FE6803" w:rsidP="00B86664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E6803">
        <w:rPr>
          <w:sz w:val="28"/>
          <w:szCs w:val="28"/>
          <w:lang w:val="uk-UA"/>
        </w:rPr>
        <w:lastRenderedPageBreak/>
        <w:t>Дані отримані від місцевої метеостанції свідчать, що середньорічна температура повітря у 2019 році становила 1,2 °С, найнижча вона у січні (-6,2°С), найвища — в червні (27,3 °С).</w:t>
      </w:r>
    </w:p>
    <w:p w:rsidR="00FE6803" w:rsidRPr="00FE6803" w:rsidRDefault="00FE6803" w:rsidP="00B86664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E6803">
        <w:rPr>
          <w:sz w:val="28"/>
          <w:szCs w:val="28"/>
          <w:lang w:val="uk-UA"/>
        </w:rPr>
        <w:t>У середньому за рік у Володимирі-Волинському випадає 609 мм атмосферних опадів, у 2019 році найменше випало опадів — у лютому, найбільше — в серпні. Максимальна кількість опадів — 821,0 мм (1980 рік), мінімальна — 388,9 мм (1953 рік).</w:t>
      </w:r>
    </w:p>
    <w:tbl>
      <w:tblPr>
        <w:tblpPr w:leftFromText="180" w:rightFromText="180" w:vertAnchor="text" w:horzAnchor="margin" w:tblpY="82"/>
        <w:tblW w:w="9634" w:type="dxa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1"/>
        <w:gridCol w:w="481"/>
        <w:gridCol w:w="636"/>
        <w:gridCol w:w="481"/>
        <w:gridCol w:w="535"/>
        <w:gridCol w:w="595"/>
        <w:gridCol w:w="481"/>
        <w:gridCol w:w="481"/>
        <w:gridCol w:w="591"/>
        <w:gridCol w:w="481"/>
        <w:gridCol w:w="481"/>
        <w:gridCol w:w="481"/>
        <w:gridCol w:w="481"/>
        <w:gridCol w:w="738"/>
      </w:tblGrid>
      <w:tr w:rsidR="00FE6803" w:rsidRPr="00FE6803" w:rsidTr="00FE6803">
        <w:trPr>
          <w:trHeight w:val="226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Клімат </w:t>
            </w: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м. </w:t>
            </w: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Володимира-Волинського</w:t>
            </w: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 2019 році</w:t>
            </w:r>
          </w:p>
        </w:tc>
      </w:tr>
      <w:tr w:rsidR="00FE6803" w:rsidRPr="00FE6803" w:rsidTr="00FE6803">
        <w:trPr>
          <w:trHeight w:val="28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</w:p>
        </w:tc>
      </w:tr>
      <w:tr w:rsidR="00FE6803" w:rsidRPr="00FE6803" w:rsidTr="00FE6803">
        <w:trPr>
          <w:trHeight w:val="27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Середній максимум,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-1,2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15,6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5,3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14,9</w:t>
            </w:r>
          </w:p>
        </w:tc>
      </w:tr>
      <w:tr w:rsidR="00FE6803" w:rsidRPr="00FE6803" w:rsidTr="00FE6803">
        <w:trPr>
          <w:trHeight w:val="26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Середня температура,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-3,5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5,2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10,2</w:t>
            </w:r>
          </w:p>
        </w:tc>
      </w:tr>
      <w:tr w:rsidR="00FE6803" w:rsidRPr="00FE6803" w:rsidTr="00FE6803">
        <w:trPr>
          <w:trHeight w:val="37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Середній мінімум,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-6,2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-0,3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5,9</w:t>
            </w:r>
          </w:p>
        </w:tc>
      </w:tr>
      <w:tr w:rsidR="00FE6803" w:rsidRPr="00FE6803" w:rsidTr="00FE6803">
        <w:trPr>
          <w:trHeight w:val="46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опадів, </w:t>
            </w:r>
            <w:hyperlink r:id="rId7" w:tooltip="Міліметр" w:history="1">
              <w:r w:rsidRPr="00FE680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мм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609</w:t>
            </w:r>
          </w:p>
        </w:tc>
      </w:tr>
      <w:tr w:rsidR="00FE6803" w:rsidRPr="00FE6803" w:rsidTr="00FE6803">
        <w:trPr>
          <w:trHeight w:val="28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 випало опадів,мм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23,2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34,6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132,3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37,1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E6803" w:rsidRPr="00FE6803" w:rsidRDefault="00FE6803" w:rsidP="00A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</w:pPr>
            <w:r w:rsidRPr="00FE6803">
              <w:rPr>
                <w:rFonts w:ascii="Times New Roman" w:eastAsia="Times New Roman" w:hAnsi="Times New Roman" w:cs="Times New Roman"/>
                <w:color w:val="000000"/>
                <w:szCs w:val="28"/>
                <w:lang w:val="uk-UA" w:eastAsia="ru-RU"/>
              </w:rPr>
              <w:t>542,8</w:t>
            </w:r>
          </w:p>
        </w:tc>
      </w:tr>
    </w:tbl>
    <w:p w:rsidR="00FE6803" w:rsidRDefault="00A230D1" w:rsidP="001A77D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230D1">
        <w:rPr>
          <w:sz w:val="28"/>
          <w:szCs w:val="28"/>
          <w:lang w:val="uk-UA"/>
        </w:rPr>
        <w:t>Водні ресурси міста Володимира-Волинського представлені річками Лугою (права притока Західного Бугу), Риловицею (права  притока Луги), Смоч (права притока Риловиці) кількома невеликими болотами та підземними водами. Річки Луга, Риловиця, Смоч типово рівнинні. Ширина русла у першої в межах міста складає 10-30 м, глибина змінюється від 1 до 4 м, витрата води 5,7-6,7 м3 /сек. Риловиця, маючи в середній течії ширину русла, що не перевищує 3м, у межах міста розширює його до 10 м, глибина її тут становить 0,4-0,5 м, витрата води  - 0,33 м3 /сек.</w:t>
      </w:r>
    </w:p>
    <w:p w:rsidR="00FE6803" w:rsidRDefault="00B05FCE" w:rsidP="00B05FCE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05FCE">
        <w:rPr>
          <w:sz w:val="28"/>
          <w:szCs w:val="28"/>
          <w:lang w:val="uk-UA"/>
        </w:rPr>
        <w:t>Практично половина протяжності р.Смоч в інженерних трубах, решта – відкритим способом, ширина русла – до 2м., глибина – 0,4-0,5м.</w:t>
      </w:r>
    </w:p>
    <w:p w:rsidR="00B05FCE" w:rsidRPr="00B05FCE" w:rsidRDefault="00B05FCE" w:rsidP="00C37FE6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05FCE">
        <w:rPr>
          <w:sz w:val="28"/>
          <w:szCs w:val="28"/>
          <w:lang w:val="uk-UA"/>
        </w:rPr>
        <w:t>Загальна площа земель  –  1647 га.:</w:t>
      </w:r>
    </w:p>
    <w:p w:rsidR="00B05FCE" w:rsidRPr="00B05FCE" w:rsidRDefault="00B05FCE" w:rsidP="00C37FE6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05FCE">
        <w:rPr>
          <w:sz w:val="28"/>
          <w:szCs w:val="28"/>
          <w:lang w:val="uk-UA"/>
        </w:rPr>
        <w:t>- забудовані землі – 1445 га. (87,7%)</w:t>
      </w:r>
    </w:p>
    <w:p w:rsidR="00B05FCE" w:rsidRPr="00B05FCE" w:rsidRDefault="00B05FCE" w:rsidP="00C37FE6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05FCE">
        <w:rPr>
          <w:sz w:val="28"/>
          <w:szCs w:val="28"/>
          <w:lang w:val="uk-UA"/>
        </w:rPr>
        <w:t>- с/г землі – 138 га. (8,4%);</w:t>
      </w:r>
    </w:p>
    <w:p w:rsidR="00B05FCE" w:rsidRPr="00B05FCE" w:rsidRDefault="00B05FCE" w:rsidP="00C37FE6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05FCE">
        <w:rPr>
          <w:sz w:val="28"/>
          <w:szCs w:val="28"/>
          <w:lang w:val="uk-UA"/>
        </w:rPr>
        <w:t>- заболочені землі – 35 га. (2,1%);</w:t>
      </w:r>
    </w:p>
    <w:p w:rsidR="00FE6803" w:rsidRDefault="00B05FCE" w:rsidP="00C37FE6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05FCE">
        <w:rPr>
          <w:sz w:val="28"/>
          <w:szCs w:val="28"/>
          <w:lang w:val="uk-UA"/>
        </w:rPr>
        <w:t>- інші – 10,1 га. (0,7%).</w:t>
      </w:r>
    </w:p>
    <w:p w:rsidR="00FE6803" w:rsidRDefault="00B05FCE" w:rsidP="00C37FE6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05FCE">
        <w:rPr>
          <w:sz w:val="28"/>
          <w:szCs w:val="28"/>
          <w:lang w:val="uk-UA"/>
        </w:rPr>
        <w:t>Переважають дерново-підзолисті ґрунти.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місті є три п</w:t>
      </w:r>
      <w:r w:rsidRPr="00B86664">
        <w:rPr>
          <w:color w:val="000000" w:themeColor="text1"/>
          <w:sz w:val="28"/>
          <w:szCs w:val="28"/>
          <w:lang w:val="uk-UA"/>
        </w:rPr>
        <w:t>арки: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Парк-пам’ятка садово-паркового мистецтва місцевого значення «Словянський»(вул.Луцька) площа 13,4243 га</w:t>
      </w:r>
      <w:r>
        <w:rPr>
          <w:color w:val="000000" w:themeColor="text1"/>
          <w:sz w:val="28"/>
          <w:szCs w:val="28"/>
          <w:lang w:val="uk-UA"/>
        </w:rPr>
        <w:t xml:space="preserve"> (ПЗФ);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Колишній парк ім.Ю.Гагаріна (вул.Драгоманова) 3,08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«Брусиловський» вул.Січових Стрільців – 2,17га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 11 с</w:t>
      </w:r>
      <w:r w:rsidRPr="00B86664">
        <w:rPr>
          <w:color w:val="000000" w:themeColor="text1"/>
          <w:sz w:val="28"/>
          <w:szCs w:val="28"/>
          <w:lang w:val="uk-UA"/>
        </w:rPr>
        <w:t>квер</w:t>
      </w:r>
      <w:r>
        <w:rPr>
          <w:color w:val="000000" w:themeColor="text1"/>
          <w:sz w:val="28"/>
          <w:szCs w:val="28"/>
          <w:lang w:val="uk-UA"/>
        </w:rPr>
        <w:t>ів: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«Князя Данила Галицького»(вулиці Луцька-Данила Галицького) – 0,13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«Небесної сотні» (вулиці Князя Василька – Устилузька) – 0,27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«Військовий» (вулиці Ковельська – Поліської Січі) – 0,85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«Генерала Карбишева»(вулиця Луцька-Карбишева) – 0,19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«Капуцинів»(вулиця Драгоманова) – 0,88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«Соборний(вулиця Соборна) -  0,11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lastRenderedPageBreak/>
        <w:t>«Жертвам фашизму»(вулиця Володимира-Великого) – 1,4681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«Студентський»(вулиця Луцька) – 0,3453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«Гідро» (вулиця Луцька) – 2,097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P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«Берізки»(вулиця Тараса Шевченка) – 0,1573 га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6664">
        <w:rPr>
          <w:color w:val="000000" w:themeColor="text1"/>
          <w:sz w:val="28"/>
          <w:szCs w:val="28"/>
          <w:lang w:val="uk-UA"/>
        </w:rPr>
        <w:t>«Цу</w:t>
      </w:r>
      <w:r>
        <w:rPr>
          <w:color w:val="000000" w:themeColor="text1"/>
          <w:sz w:val="28"/>
          <w:szCs w:val="28"/>
          <w:lang w:val="uk-UA"/>
        </w:rPr>
        <w:t>кровий» (вул. Луцька) – 2,873 га,</w:t>
      </w:r>
    </w:p>
    <w:p w:rsidR="00B86664" w:rsidRDefault="00B86664" w:rsidP="00C37FE6">
      <w:pPr>
        <w:pStyle w:val="af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 також </w:t>
      </w:r>
      <w:r w:rsidR="00C37FE6">
        <w:rPr>
          <w:color w:val="000000" w:themeColor="text1"/>
          <w:sz w:val="28"/>
          <w:szCs w:val="28"/>
          <w:lang w:val="uk-UA"/>
        </w:rPr>
        <w:t>п</w:t>
      </w:r>
      <w:r w:rsidR="00C37FE6" w:rsidRPr="00C37FE6">
        <w:rPr>
          <w:color w:val="000000" w:themeColor="text1"/>
          <w:sz w:val="28"/>
          <w:szCs w:val="28"/>
          <w:lang w:val="uk-UA"/>
        </w:rPr>
        <w:t>ам’ятка природно–ботанічна місцевого значення "Дуб Велетень", 0,010 га, розпорядження голови облдержадміністрації від 12.02.1997 року №94.</w:t>
      </w:r>
    </w:p>
    <w:p w:rsidR="006845B9" w:rsidRDefault="0029166A" w:rsidP="00B86664">
      <w:pPr>
        <w:pStyle w:val="af1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9166A">
        <w:rPr>
          <w:color w:val="000000" w:themeColor="text1"/>
          <w:sz w:val="28"/>
          <w:szCs w:val="28"/>
          <w:lang w:val="uk-UA"/>
        </w:rPr>
        <w:t>Екологічні умови ділянки  проектування – задовільні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711F90" w:rsidRDefault="00711F90" w:rsidP="00C37C82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11F90">
        <w:rPr>
          <w:sz w:val="28"/>
          <w:szCs w:val="28"/>
          <w:lang w:val="uk-UA"/>
        </w:rPr>
        <w:t xml:space="preserve">Детальний план території розробляється з метою </w:t>
      </w:r>
      <w:r w:rsidR="00816791" w:rsidRPr="00816791">
        <w:rPr>
          <w:sz w:val="28"/>
          <w:szCs w:val="28"/>
          <w:lang w:val="uk-UA"/>
        </w:rPr>
        <w:t>визначення планувальних обмежень</w:t>
      </w:r>
      <w:r w:rsidR="00C37C82">
        <w:rPr>
          <w:sz w:val="28"/>
          <w:szCs w:val="28"/>
          <w:lang w:val="uk-UA"/>
        </w:rPr>
        <w:t xml:space="preserve"> </w:t>
      </w:r>
      <w:r w:rsidR="00816791" w:rsidRPr="00816791">
        <w:rPr>
          <w:sz w:val="28"/>
          <w:szCs w:val="28"/>
          <w:lang w:val="uk-UA"/>
        </w:rPr>
        <w:t xml:space="preserve">та параметрів забудови однієї земельної ділянки, площею 0,8093га, </w:t>
      </w:r>
      <w:r w:rsidR="00C37C82" w:rsidRPr="00C37C82">
        <w:rPr>
          <w:sz w:val="28"/>
          <w:szCs w:val="28"/>
          <w:lang w:val="uk-UA"/>
        </w:rPr>
        <w:t>для будівництва та обслуговування складу мінеральних добрив,</w:t>
      </w:r>
      <w:r w:rsidR="00C37C82">
        <w:rPr>
          <w:sz w:val="28"/>
          <w:szCs w:val="28"/>
          <w:lang w:val="uk-UA"/>
        </w:rPr>
        <w:t xml:space="preserve"> з</w:t>
      </w:r>
      <w:r w:rsidR="00C37C82" w:rsidRPr="00C37C82">
        <w:rPr>
          <w:sz w:val="28"/>
          <w:szCs w:val="28"/>
          <w:lang w:val="uk-UA"/>
        </w:rPr>
        <w:t>асобів захисту рослин та паливно-мастильних матеріалів в м. Володимир-Волинський, вул.</w:t>
      </w:r>
      <w:r w:rsidR="00C37C82">
        <w:rPr>
          <w:sz w:val="28"/>
          <w:szCs w:val="28"/>
          <w:lang w:val="uk-UA"/>
        </w:rPr>
        <w:t> </w:t>
      </w:r>
      <w:r w:rsidR="00C37C82" w:rsidRPr="00C37C82">
        <w:rPr>
          <w:sz w:val="28"/>
          <w:szCs w:val="28"/>
          <w:lang w:val="uk-UA"/>
        </w:rPr>
        <w:t>Наталії Ужвій, 23а,</w:t>
      </w:r>
      <w:r w:rsidR="00816791" w:rsidRPr="00816791">
        <w:rPr>
          <w:sz w:val="28"/>
          <w:szCs w:val="28"/>
          <w:lang w:val="uk-UA"/>
        </w:rPr>
        <w:t>згідно з державними</w:t>
      </w:r>
      <w:r w:rsidR="00C37C82">
        <w:rPr>
          <w:sz w:val="28"/>
          <w:szCs w:val="28"/>
          <w:lang w:val="uk-UA"/>
        </w:rPr>
        <w:t xml:space="preserve"> </w:t>
      </w:r>
      <w:r w:rsidR="00816791" w:rsidRPr="00816791">
        <w:rPr>
          <w:sz w:val="28"/>
          <w:szCs w:val="28"/>
          <w:lang w:val="uk-UA"/>
        </w:rPr>
        <w:t>будівельними та санітарно-гігієнічними нормами</w:t>
      </w:r>
      <w:r w:rsidRPr="00711F90">
        <w:rPr>
          <w:sz w:val="28"/>
          <w:szCs w:val="28"/>
          <w:lang w:val="uk-UA"/>
        </w:rPr>
        <w:t>, уточнення у більш крупному масштабі положень генерального плану населеного пункту, планування і визначення параметрів і вимог до формування дан</w:t>
      </w:r>
      <w:r w:rsidR="00BF0E97">
        <w:rPr>
          <w:sz w:val="28"/>
          <w:szCs w:val="28"/>
          <w:lang w:val="uk-UA"/>
        </w:rPr>
        <w:t>ої ділянки</w:t>
      </w:r>
      <w:r w:rsidRPr="00711F90">
        <w:rPr>
          <w:sz w:val="28"/>
          <w:szCs w:val="28"/>
          <w:lang w:val="uk-UA"/>
        </w:rPr>
        <w:t>.</w:t>
      </w:r>
    </w:p>
    <w:p w:rsidR="00DE5B41" w:rsidRPr="00406FEC" w:rsidRDefault="00DE5B41" w:rsidP="00C37C82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06FEC">
        <w:rPr>
          <w:sz w:val="28"/>
          <w:szCs w:val="28"/>
          <w:lang w:val="uk-UA"/>
        </w:rPr>
        <w:t xml:space="preserve">За містобудівними факторами наміри забудови і використання </w:t>
      </w:r>
      <w:r w:rsidR="00E312AB">
        <w:rPr>
          <w:sz w:val="28"/>
          <w:szCs w:val="28"/>
          <w:lang w:val="uk-UA"/>
        </w:rPr>
        <w:t xml:space="preserve">території </w:t>
      </w:r>
      <w:r w:rsidRPr="00406FEC">
        <w:rPr>
          <w:sz w:val="28"/>
          <w:szCs w:val="28"/>
          <w:lang w:val="uk-UA"/>
        </w:rPr>
        <w:t>відповідають містобудівним умовам і обмеженням.</w:t>
      </w:r>
    </w:p>
    <w:p w:rsidR="00DF1390" w:rsidRDefault="00DF1390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D86ACE" w:rsidRDefault="00D86ACE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D86ACE" w:rsidRDefault="00D86ACE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D86ACE" w:rsidRDefault="00D86ACE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FA3D00" w:rsidRPr="00406FEC" w:rsidRDefault="00DE5B41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4. </w:t>
      </w:r>
      <w:r w:rsidR="00FA3D00"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Ймовірні наслідки</w:t>
      </w:r>
    </w:p>
    <w:p w:rsidR="008774CC" w:rsidRPr="00406FEC" w:rsidRDefault="004A1D4E" w:rsidP="00D8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E5B41"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2B736B" w:rsidRPr="002B736B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="00711F90">
        <w:rPr>
          <w:rFonts w:ascii="Times New Roman" w:hAnsi="Times New Roman" w:cs="Times New Roman"/>
          <w:sz w:val="28"/>
          <w:szCs w:val="28"/>
          <w:lang w:val="uk-UA"/>
        </w:rPr>
        <w:t>облаштування території</w:t>
      </w:r>
      <w:r w:rsidR="00E67D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1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ACE" w:rsidRPr="00D86ACE">
        <w:rPr>
          <w:rFonts w:ascii="Times New Roman" w:hAnsi="Times New Roman" w:cs="Times New Roman"/>
          <w:sz w:val="28"/>
          <w:szCs w:val="28"/>
          <w:lang w:val="uk-UA"/>
        </w:rPr>
        <w:t>будівництва та</w:t>
      </w:r>
      <w:r w:rsidR="00D8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ACE" w:rsidRPr="00D86ACE">
        <w:rPr>
          <w:rFonts w:ascii="Times New Roman" w:hAnsi="Times New Roman" w:cs="Times New Roman"/>
          <w:sz w:val="28"/>
          <w:szCs w:val="28"/>
          <w:lang w:val="uk-UA"/>
        </w:rPr>
        <w:t>обслуговування складу мінеральних добрив, засобів</w:t>
      </w:r>
      <w:r w:rsidR="00D8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ACE" w:rsidRPr="00D86ACE">
        <w:rPr>
          <w:rFonts w:ascii="Times New Roman" w:hAnsi="Times New Roman" w:cs="Times New Roman"/>
          <w:sz w:val="28"/>
          <w:szCs w:val="28"/>
          <w:lang w:val="uk-UA"/>
        </w:rPr>
        <w:t>захисту рослин та паливно-мастильних матеріалів</w:t>
      </w:r>
      <w:r w:rsidR="00BF0E97">
        <w:rPr>
          <w:rFonts w:ascii="Times New Roman" w:hAnsi="Times New Roman" w:cs="Times New Roman"/>
          <w:sz w:val="28"/>
          <w:szCs w:val="28"/>
          <w:lang w:val="uk-UA"/>
        </w:rPr>
        <w:t xml:space="preserve"> в межах ділянки планованої діяльності </w:t>
      </w:r>
      <w:r w:rsidR="002B736B" w:rsidRPr="002B736B">
        <w:rPr>
          <w:rFonts w:ascii="Times New Roman" w:hAnsi="Times New Roman" w:cs="Times New Roman"/>
          <w:sz w:val="28"/>
          <w:szCs w:val="28"/>
          <w:lang w:val="uk-UA"/>
        </w:rPr>
        <w:t>можливі різні ризики впливу на навколишнє природне середовище</w:t>
      </w:r>
      <w:r w:rsidR="00D8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D7A" w:rsidRDefault="0098611F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11F">
        <w:rPr>
          <w:rFonts w:ascii="Times New Roman" w:hAnsi="Times New Roman" w:cs="Times New Roman"/>
          <w:sz w:val="28"/>
          <w:szCs w:val="28"/>
          <w:lang w:val="uk-UA"/>
        </w:rPr>
        <w:t>Оцінка за видами та кількістю очікуваних відходів, викидів (скидів), забруднення води, повітря, ґрунту та надр, шумового, вібраційного, світлового, теплового та радіаційного забруднення, в результаті виконання підготовчих і будівельних робіт та провадження планованої діяльності наведено у таблиці 1.</w:t>
      </w:r>
    </w:p>
    <w:p w:rsidR="00E312AB" w:rsidRDefault="00E312AB" w:rsidP="00C6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2AB">
        <w:rPr>
          <w:rFonts w:ascii="Times New Roman" w:hAnsi="Times New Roman" w:cs="Times New Roman"/>
          <w:sz w:val="28"/>
          <w:szCs w:val="28"/>
          <w:lang w:val="uk-UA"/>
        </w:rPr>
        <w:t>Разом з тим зазначимо, що планована</w:t>
      </w:r>
      <w:r w:rsidR="00C61BF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 зокрема щодо</w:t>
      </w:r>
      <w:r w:rsidRPr="00E31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BF0" w:rsidRPr="00C61BF0">
        <w:rPr>
          <w:rFonts w:ascii="Times New Roman" w:hAnsi="Times New Roman" w:cs="Times New Roman"/>
          <w:sz w:val="28"/>
          <w:szCs w:val="28"/>
          <w:lang w:val="uk-UA"/>
        </w:rPr>
        <w:t>обслуговування складу мінеральних добрив, засобів</w:t>
      </w:r>
      <w:r w:rsidR="00C61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BF0" w:rsidRPr="00C61BF0">
        <w:rPr>
          <w:rFonts w:ascii="Times New Roman" w:hAnsi="Times New Roman" w:cs="Times New Roman"/>
          <w:sz w:val="28"/>
          <w:szCs w:val="28"/>
          <w:lang w:val="uk-UA"/>
        </w:rPr>
        <w:t>захисту рослин та паливно-мастильних матеріалів</w:t>
      </w:r>
      <w:r w:rsidRPr="00E312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BF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E312AB">
        <w:rPr>
          <w:rFonts w:ascii="Times New Roman" w:hAnsi="Times New Roman" w:cs="Times New Roman"/>
          <w:sz w:val="28"/>
          <w:szCs w:val="28"/>
          <w:lang w:val="uk-UA"/>
        </w:rPr>
        <w:t xml:space="preserve"> ст.3 Закону України «Про оцінку впливу на довкілля», </w:t>
      </w:r>
      <w:r w:rsidR="00C61BF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312AB">
        <w:rPr>
          <w:rFonts w:ascii="Times New Roman" w:hAnsi="Times New Roman" w:cs="Times New Roman"/>
          <w:sz w:val="28"/>
          <w:szCs w:val="28"/>
          <w:lang w:val="uk-UA"/>
        </w:rPr>
        <w:t>підлягає обов’язковій оцінці.</w:t>
      </w:r>
    </w:p>
    <w:p w:rsidR="003A114B" w:rsidRDefault="003A114B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11F" w:rsidRDefault="0098611F" w:rsidP="001A77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11F">
        <w:rPr>
          <w:rFonts w:ascii="Times New Roman" w:hAnsi="Times New Roman" w:cs="Times New Roman"/>
          <w:sz w:val="28"/>
          <w:szCs w:val="28"/>
          <w:lang w:val="uk-UA"/>
        </w:rPr>
        <w:t>Таблиця 1. Оцінка за видами та кількістю очікуваних ризиків впливу (відходів, викидів (скидів), забруднення води, повітря, ґрунту та надр, шумового, вібраційного, світлового, теплового та радіаційного забруднення в результаті  провадження планової діяльності)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58"/>
      </w:tblGrid>
      <w:tr w:rsidR="003A114B" w:rsidRPr="00C61BF0" w:rsidTr="002168D8">
        <w:trPr>
          <w:trHeight w:val="1733"/>
        </w:trPr>
        <w:tc>
          <w:tcPr>
            <w:tcW w:w="2127" w:type="dxa"/>
          </w:tcPr>
          <w:p w:rsidR="003A114B" w:rsidRPr="003A114B" w:rsidRDefault="003A114B" w:rsidP="001A77DC">
            <w:pPr>
              <w:spacing w:after="0" w:line="240" w:lineRule="auto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</w:p>
          <w:p w:rsidR="003A114B" w:rsidRPr="003A114B" w:rsidRDefault="003A114B" w:rsidP="001A77DC">
            <w:pPr>
              <w:spacing w:after="0" w:line="240" w:lineRule="auto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Відходи</w:t>
            </w:r>
          </w:p>
          <w:p w:rsidR="003A114B" w:rsidRPr="003A114B" w:rsidRDefault="003A114B" w:rsidP="001A77DC">
            <w:pPr>
              <w:spacing w:after="0" w:line="240" w:lineRule="auto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right="34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Під час проведення будівельних та підготовчих робіт будуть утворюватися комунальні, будівельні відходи. Будівельні відходи, які можуть складатися з брухту бетону, дерев’яних конструкцій, лому чорних металів, піску, каміння.</w:t>
            </w:r>
          </w:p>
          <w:p w:rsidR="003A114B" w:rsidRPr="003A114B" w:rsidRDefault="003A114B" w:rsidP="00C61BF0">
            <w:pPr>
              <w:tabs>
                <w:tab w:val="num" w:pos="2133"/>
                <w:tab w:val="left" w:pos="8789"/>
              </w:tabs>
              <w:spacing w:after="0" w:line="240" w:lineRule="auto"/>
              <w:ind w:right="34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У період експлуатації </w:t>
            </w:r>
            <w:r w:rsidR="00C61BF0" w:rsidRPr="00C61BF0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складу мінеральних добрив, засобів захисту рослин та паливно-мастильних матеріалів 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будуть утворення побутові відходи, а також</w:t>
            </w:r>
            <w:r w:rsidR="00C61BF0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 інші виробничі відходи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. Для провадження планованої діяльності </w:t>
            </w:r>
            <w:r w:rsidR="00C61BF0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може бути потрібний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 дозвіл на викиди</w:t>
            </w:r>
            <w:r w:rsidR="00C61BF0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, залежно від обсягу запланованих викидів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3A114B" w:rsidRPr="003A114B" w:rsidTr="002168D8">
        <w:tc>
          <w:tcPr>
            <w:tcW w:w="2127" w:type="dxa"/>
          </w:tcPr>
          <w:p w:rsidR="003A114B" w:rsidRPr="003A114B" w:rsidRDefault="003A114B" w:rsidP="001A77DC">
            <w:pPr>
              <w:tabs>
                <w:tab w:val="left" w:pos="2439"/>
              </w:tabs>
              <w:spacing w:after="0" w:line="240" w:lineRule="auto"/>
              <w:ind w:left="59" w:right="34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Поверхневі та підземні води</w:t>
            </w:r>
          </w:p>
        </w:tc>
        <w:tc>
          <w:tcPr>
            <w:tcW w:w="7258" w:type="dxa"/>
          </w:tcPr>
          <w:p w:rsidR="003A114B" w:rsidRPr="003A114B" w:rsidRDefault="003A114B" w:rsidP="00C61BF0">
            <w:pPr>
              <w:tabs>
                <w:tab w:val="left" w:pos="8789"/>
              </w:tabs>
              <w:spacing w:after="0" w:line="240" w:lineRule="auto"/>
              <w:ind w:left="34" w:right="33" w:hanging="8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Для забезпечення господарської діяльності </w:t>
            </w:r>
            <w:r w:rsidR="00C61BF0" w:rsidRPr="00C61BF0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складу мінеральних добрив, засобів захисту рослин та паливно-мастильних матеріалів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 необхідне забезпечення водопостачання та водовідведення. За умови очищення стоків створення додаткових впливів на водне середовище не передбачається. </w:t>
            </w:r>
          </w:p>
        </w:tc>
      </w:tr>
      <w:tr w:rsidR="003A114B" w:rsidRPr="003A114B" w:rsidTr="002168D8">
        <w:trPr>
          <w:trHeight w:val="579"/>
        </w:trPr>
        <w:tc>
          <w:tcPr>
            <w:tcW w:w="2127" w:type="dxa"/>
          </w:tcPr>
          <w:p w:rsidR="003A114B" w:rsidRPr="003A114B" w:rsidRDefault="003A114B" w:rsidP="001A77DC">
            <w:pPr>
              <w:tabs>
                <w:tab w:val="left" w:pos="2439"/>
              </w:tabs>
              <w:spacing w:after="0" w:line="240" w:lineRule="auto"/>
              <w:ind w:left="59" w:right="34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Ґрунт та надра </w:t>
            </w:r>
          </w:p>
        </w:tc>
        <w:tc>
          <w:tcPr>
            <w:tcW w:w="7258" w:type="dxa"/>
          </w:tcPr>
          <w:p w:rsidR="003A114B" w:rsidRPr="003A114B" w:rsidRDefault="003A114B" w:rsidP="001A77DC">
            <w:pPr>
              <w:tabs>
                <w:tab w:val="left" w:pos="8789"/>
              </w:tabs>
              <w:spacing w:after="0" w:line="240" w:lineRule="auto"/>
              <w:ind w:left="34" w:right="33" w:hanging="8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Вплив здійснюватиметься при розробці будівельного майданчика, прокладанні комунікацій, будівництві.</w:t>
            </w:r>
          </w:p>
        </w:tc>
      </w:tr>
      <w:tr w:rsidR="003A114B" w:rsidRPr="003E507F" w:rsidTr="002168D8">
        <w:tc>
          <w:tcPr>
            <w:tcW w:w="2127" w:type="dxa"/>
          </w:tcPr>
          <w:p w:rsidR="003A114B" w:rsidRPr="003A114B" w:rsidRDefault="003A114B" w:rsidP="001A77DC">
            <w:pPr>
              <w:tabs>
                <w:tab w:val="left" w:pos="8789"/>
              </w:tabs>
              <w:spacing w:after="0" w:line="240" w:lineRule="auto"/>
              <w:ind w:left="59" w:right="-143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Атмосферне повітря</w:t>
            </w:r>
          </w:p>
        </w:tc>
        <w:tc>
          <w:tcPr>
            <w:tcW w:w="7258" w:type="dxa"/>
          </w:tcPr>
          <w:p w:rsidR="003A114B" w:rsidRPr="003A114B" w:rsidRDefault="003A114B" w:rsidP="001A77DC">
            <w:pPr>
              <w:spacing w:after="0" w:line="240" w:lineRule="auto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У результаті виконання будівельних робіт будуть наявні неорганізовані нестаціонарні джерела викиду забруднюючих речовин в атмосферне повітря – автотранспорт, дизель-генератор, зварювальні роботи, пересипка сипучих матеріалів (ґрунт, пісок, щебінь).</w:t>
            </w:r>
          </w:p>
          <w:p w:rsidR="003A114B" w:rsidRPr="003A114B" w:rsidRDefault="003A114B" w:rsidP="001A77DC">
            <w:pPr>
              <w:spacing w:after="0" w:line="240" w:lineRule="auto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При зварюванні в атмосферне повітря виділяється - заліза оксид, марганець та його з'єднання, хром шестивалентний, азоту оксид, вуглецю оксид.</w:t>
            </w:r>
          </w:p>
          <w:p w:rsidR="003A114B" w:rsidRPr="003A114B" w:rsidRDefault="003A114B" w:rsidP="00D40E0B">
            <w:pPr>
              <w:tabs>
                <w:tab w:val="num" w:pos="2133"/>
                <w:tab w:val="left" w:pos="8789"/>
              </w:tabs>
              <w:spacing w:after="0" w:line="240" w:lineRule="auto"/>
              <w:ind w:firstLine="56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Під час діяльності </w:t>
            </w:r>
            <w:r w:rsidR="00D40E0B" w:rsidRPr="00D40E0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складу мінеральних добрив, засобів захисту рослин т</w:t>
            </w:r>
            <w:r w:rsidR="00D40E0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а паливно-мастильних матеріалів, 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можуть утворюватися викиди від систем опалення, вентиляції, кондиціювання, руху транспорту. </w:t>
            </w:r>
          </w:p>
        </w:tc>
      </w:tr>
      <w:tr w:rsidR="003A114B" w:rsidRPr="003A114B" w:rsidTr="00B70204">
        <w:trPr>
          <w:trHeight w:val="769"/>
        </w:trPr>
        <w:tc>
          <w:tcPr>
            <w:tcW w:w="2127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left="59" w:right="-143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Акустичний вплив</w:t>
            </w:r>
          </w:p>
        </w:tc>
        <w:tc>
          <w:tcPr>
            <w:tcW w:w="7258" w:type="dxa"/>
          </w:tcPr>
          <w:p w:rsidR="003A114B" w:rsidRPr="003A114B" w:rsidRDefault="003A114B" w:rsidP="00D40E0B">
            <w:pPr>
              <w:tabs>
                <w:tab w:val="left" w:pos="8789"/>
              </w:tabs>
              <w:spacing w:after="0" w:line="240" w:lineRule="auto"/>
              <w:ind w:left="34" w:right="33" w:firstLine="2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Під час будівельних робіт, від пересування техніки, виникне додаткове шумове навантаження. Проте, під час роботи рівень технологічного шуму не перевищуватиме 75 ДБ</w:t>
            </w:r>
          </w:p>
        </w:tc>
      </w:tr>
      <w:tr w:rsidR="003A114B" w:rsidRPr="003A114B" w:rsidTr="00B70204">
        <w:trPr>
          <w:trHeight w:val="727"/>
        </w:trPr>
        <w:tc>
          <w:tcPr>
            <w:tcW w:w="2127" w:type="dxa"/>
          </w:tcPr>
          <w:p w:rsidR="003A114B" w:rsidRPr="003A114B" w:rsidRDefault="003A114B" w:rsidP="001A77DC">
            <w:pPr>
              <w:tabs>
                <w:tab w:val="left" w:pos="2439"/>
              </w:tabs>
              <w:spacing w:after="0" w:line="240" w:lineRule="auto"/>
              <w:ind w:right="34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Світлове, теплове та радіаційне забруднення</w:t>
            </w:r>
          </w:p>
        </w:tc>
        <w:tc>
          <w:tcPr>
            <w:tcW w:w="7258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right="33"/>
              <w:jc w:val="both"/>
              <w:rPr>
                <w:rFonts w:ascii="Times New Roman" w:eastAsia="Peterburg" w:hAnsi="Times New Roman" w:cs="Times New Roman"/>
                <w:i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Очікування впливу не передбачається. </w:t>
            </w:r>
          </w:p>
        </w:tc>
      </w:tr>
      <w:tr w:rsidR="003A114B" w:rsidRPr="003A114B" w:rsidTr="002168D8">
        <w:tc>
          <w:tcPr>
            <w:tcW w:w="2127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left="59" w:right="-143" w:hanging="59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Флора та і фауна</w:t>
            </w:r>
          </w:p>
        </w:tc>
        <w:tc>
          <w:tcPr>
            <w:tcW w:w="7258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left="34" w:right="34"/>
              <w:jc w:val="both"/>
              <w:rPr>
                <w:rFonts w:ascii="Times New Roman" w:eastAsia="Peterburg" w:hAnsi="Times New Roman" w:cs="Times New Roman"/>
                <w:i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Для</w:t>
            </w:r>
            <w:r w:rsidR="00D40E0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 будівництва та обслуговування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D40E0B" w:rsidRPr="00D40E0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 xml:space="preserve">складу мінеральних добрив, засобів захисту рослин та паливно-мастильних матеріалів </w:t>
            </w: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здійснюватися видалення зелених насаджень. Видалення зелених насаджень повинне здійснюватися згідно законодавчих та нормативних вимог відповідно до проекту на підставі дозвільних документів. Для належної експлуатації території необхідно передбачити її озеленення.</w:t>
            </w:r>
            <w:r w:rsidRPr="003A114B">
              <w:rPr>
                <w:rFonts w:ascii="Times New Roman" w:eastAsia="Peterburg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</w:p>
        </w:tc>
      </w:tr>
      <w:tr w:rsidR="003A114B" w:rsidRPr="003A114B" w:rsidTr="002168D8">
        <w:tc>
          <w:tcPr>
            <w:tcW w:w="2127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left="59" w:right="-143" w:hanging="59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Геологічне середовище</w:t>
            </w:r>
          </w:p>
        </w:tc>
        <w:tc>
          <w:tcPr>
            <w:tcW w:w="7258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left="34" w:firstLine="2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Вплив буде здійснюватися при розробці будівельного майданчику влаштуванні фундаментів.</w:t>
            </w:r>
          </w:p>
        </w:tc>
      </w:tr>
      <w:tr w:rsidR="003A114B" w:rsidRPr="003A114B" w:rsidTr="002168D8">
        <w:trPr>
          <w:trHeight w:val="1691"/>
        </w:trPr>
        <w:tc>
          <w:tcPr>
            <w:tcW w:w="2127" w:type="dxa"/>
          </w:tcPr>
          <w:p w:rsidR="003A114B" w:rsidRPr="003A114B" w:rsidRDefault="003A114B" w:rsidP="001A77DC">
            <w:pPr>
              <w:tabs>
                <w:tab w:val="left" w:pos="8789"/>
              </w:tabs>
              <w:spacing w:after="0" w:line="240" w:lineRule="auto"/>
              <w:ind w:left="59" w:right="34" w:hanging="59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Технологічні Ризики / аварії що можуть вплинути на здоров’я населення</w:t>
            </w:r>
          </w:p>
        </w:tc>
        <w:tc>
          <w:tcPr>
            <w:tcW w:w="7258" w:type="dxa"/>
          </w:tcPr>
          <w:p w:rsidR="003A114B" w:rsidRPr="003A114B" w:rsidRDefault="003A114B" w:rsidP="001A77DC">
            <w:pPr>
              <w:tabs>
                <w:tab w:val="num" w:pos="2133"/>
                <w:tab w:val="left" w:pos="8789"/>
              </w:tabs>
              <w:spacing w:after="0" w:line="240" w:lineRule="auto"/>
              <w:ind w:left="34" w:right="33" w:firstLine="2"/>
              <w:jc w:val="both"/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</w:pPr>
            <w:r w:rsidRPr="003A114B">
              <w:rPr>
                <w:rFonts w:ascii="Times New Roman" w:eastAsia="Peterburg" w:hAnsi="Times New Roman" w:cs="Times New Roman"/>
                <w:sz w:val="24"/>
                <w:szCs w:val="28"/>
                <w:lang w:val="uk-UA"/>
              </w:rPr>
              <w:t>Будівництво повинно здійснюватися згідно ДБН де визначено можливі ризики та шляхи їх усунення. Додаткового впливу на стан здоров’я населення безпосередньо планова діяльність не створюватиме.</w:t>
            </w:r>
          </w:p>
        </w:tc>
      </w:tr>
    </w:tbl>
    <w:p w:rsidR="00DE5B41" w:rsidRPr="00B70204" w:rsidRDefault="00DE5B41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6370B7" w:rsidRPr="00406FEC" w:rsidRDefault="00DE5B41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370B7" w:rsidRPr="00406FEC">
        <w:rPr>
          <w:rFonts w:ascii="Times New Roman" w:hAnsi="Times New Roman" w:cs="Times New Roman"/>
          <w:sz w:val="28"/>
          <w:szCs w:val="28"/>
          <w:lang w:val="uk-UA"/>
        </w:rPr>
        <w:t xml:space="preserve">Ділянки з природоохоронним статусом </w:t>
      </w:r>
      <w:r w:rsidR="0087240C">
        <w:rPr>
          <w:rFonts w:ascii="Times New Roman" w:hAnsi="Times New Roman" w:cs="Times New Roman"/>
          <w:sz w:val="28"/>
          <w:szCs w:val="28"/>
          <w:lang w:val="uk-UA"/>
        </w:rPr>
        <w:t xml:space="preserve">в межах ДПТ, </w:t>
      </w:r>
      <w:r w:rsidR="006370B7" w:rsidRPr="00406FEC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p w:rsidR="00243626" w:rsidRDefault="00DE5B41" w:rsidP="001A77D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EC">
        <w:rPr>
          <w:sz w:val="28"/>
          <w:szCs w:val="28"/>
        </w:rPr>
        <w:lastRenderedPageBreak/>
        <w:t xml:space="preserve">в) </w:t>
      </w:r>
      <w:r w:rsidR="00243626" w:rsidRPr="00243626">
        <w:rPr>
          <w:sz w:val="28"/>
          <w:szCs w:val="28"/>
        </w:rPr>
        <w:t>Зважаючи на географічне положення ділянки, транскордонні наслідки реалізації планової діяльності для довкілля приграничних територій, у тому числі здоров’я населення, не очікуються.</w:t>
      </w:r>
    </w:p>
    <w:p w:rsidR="00FA3D00" w:rsidRPr="00406FEC" w:rsidRDefault="00DE5B41" w:rsidP="001A77D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406FEC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5. </w:t>
      </w:r>
      <w:r w:rsidR="00FA3D00" w:rsidRPr="00406FEC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Розгляд альтернатив</w:t>
      </w:r>
    </w:p>
    <w:p w:rsidR="00AE6535" w:rsidRPr="00243626" w:rsidRDefault="00E67DD7" w:rsidP="00A6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Альтернативних варіанти розміщення </w:t>
      </w:r>
      <w:r w:rsidR="000D19A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розглядалися,</w:t>
      </w:r>
      <w:r w:rsidR="000D19A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ділянка планованої діяльності розташовано</w:t>
      </w:r>
      <w:r w:rsidR="00A648A7">
        <w:rPr>
          <w:rFonts w:ascii="Times New Roman" w:hAnsi="Times New Roman" w:cs="Times New Roman"/>
          <w:sz w:val="28"/>
          <w:szCs w:val="28"/>
          <w:lang w:val="uk-UA"/>
        </w:rPr>
        <w:t xml:space="preserve"> в межах промислової</w:t>
      </w:r>
      <w:r w:rsidR="009F7AA2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A648A7">
        <w:rPr>
          <w:rFonts w:ascii="Times New Roman" w:hAnsi="Times New Roman" w:cs="Times New Roman"/>
          <w:sz w:val="28"/>
          <w:szCs w:val="28"/>
          <w:lang w:val="uk-UA"/>
        </w:rPr>
        <w:t>, на ділянці вже розташоване складське приміщення, яке потребує реконструкції.</w:t>
      </w:r>
      <w:r w:rsidR="009F7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8A7" w:rsidRPr="00A648A7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розробляється з метою визначення планувальних обмежень</w:t>
      </w:r>
      <w:r w:rsidR="00A64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8A7" w:rsidRPr="00A648A7">
        <w:rPr>
          <w:rFonts w:ascii="Times New Roman" w:hAnsi="Times New Roman" w:cs="Times New Roman"/>
          <w:sz w:val="28"/>
          <w:szCs w:val="28"/>
          <w:lang w:val="uk-UA"/>
        </w:rPr>
        <w:t>та параметрів забудови</w:t>
      </w:r>
    </w:p>
    <w:p w:rsidR="00C278A2" w:rsidRDefault="00243626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626">
        <w:rPr>
          <w:rFonts w:ascii="Times New Roman" w:hAnsi="Times New Roman" w:cs="Times New Roman"/>
          <w:sz w:val="28"/>
          <w:szCs w:val="28"/>
          <w:lang w:val="uk-UA"/>
        </w:rPr>
        <w:t>Проектом потрібно передбачити застосування найкращих сучасних технологій та практик, врахувати містобудівні обмеження та особливості району розташування.</w:t>
      </w:r>
    </w:p>
    <w:p w:rsidR="00552DB0" w:rsidRPr="00406FEC" w:rsidRDefault="00DE5B41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6.</w:t>
      </w:r>
      <w:r w:rsidR="00456F19"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Під час розробки СЕО передбачається використовувати наступну інформацію</w:t>
      </w:r>
    </w:p>
    <w:p w:rsidR="00456F19" w:rsidRPr="00406FEC" w:rsidRDefault="00456F19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доповіді про стан довкілля.</w:t>
      </w:r>
    </w:p>
    <w:p w:rsidR="00456F19" w:rsidRPr="00406FEC" w:rsidRDefault="00456F19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статистичну інформацію.</w:t>
      </w:r>
    </w:p>
    <w:p w:rsidR="00456F19" w:rsidRPr="00406FEC" w:rsidRDefault="00456F19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лабораторні дослідження стану довкілля.</w:t>
      </w:r>
    </w:p>
    <w:p w:rsidR="00456F19" w:rsidRPr="00406FEC" w:rsidRDefault="00456F19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дані моніторингу стану довкілля.</w:t>
      </w:r>
    </w:p>
    <w:p w:rsidR="00456F19" w:rsidRPr="00406FEC" w:rsidRDefault="00456F19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пропозиції щодо зміни існуючого функціонального використання території. </w:t>
      </w:r>
    </w:p>
    <w:p w:rsidR="004A1D4E" w:rsidRPr="00406FEC" w:rsidRDefault="00AB56D1" w:rsidP="001A77DC">
      <w:pPr>
        <w:pStyle w:val="tabl"/>
        <w:spacing w:after="0" w:line="240" w:lineRule="auto"/>
        <w:ind w:left="0" w:firstLine="567"/>
        <w:jc w:val="both"/>
        <w:rPr>
          <w:b w:val="0"/>
          <w:i/>
          <w:color w:val="FF0000"/>
          <w:u w:val="single"/>
          <w:shd w:val="clear" w:color="auto" w:fill="FFFFFF"/>
        </w:rPr>
      </w:pPr>
      <w:r w:rsidRPr="00406FEC">
        <w:rPr>
          <w:b w:val="0"/>
          <w:i/>
          <w:color w:val="000000" w:themeColor="text1"/>
          <w:u w:val="single"/>
          <w:shd w:val="clear" w:color="auto" w:fill="FFFFFF"/>
        </w:rPr>
        <w:t xml:space="preserve">7. </w:t>
      </w:r>
      <w:r w:rsidR="004A1D4E" w:rsidRPr="00406FEC">
        <w:rPr>
          <w:b w:val="0"/>
          <w:i/>
          <w:color w:val="000000" w:themeColor="text1"/>
          <w:u w:val="single"/>
          <w:shd w:val="clear" w:color="auto" w:fill="FFFFFF"/>
        </w:rPr>
        <w:t>Заходи</w:t>
      </w:r>
      <w:r w:rsidR="004A1D4E" w:rsidRPr="00406FEC">
        <w:rPr>
          <w:b w:val="0"/>
          <w:i/>
          <w:color w:val="000000"/>
          <w:u w:val="single"/>
          <w:shd w:val="clear" w:color="auto" w:fill="FFFFFF"/>
        </w:rPr>
        <w:t xml:space="preserve">, для запобігання, зменшення та пом’якшення негативних наслідків виконання </w:t>
      </w:r>
      <w:r w:rsidR="00FA3D00" w:rsidRPr="00406FEC">
        <w:rPr>
          <w:b w:val="0"/>
          <w:i/>
          <w:color w:val="000000"/>
          <w:u w:val="single"/>
          <w:shd w:val="clear" w:color="auto" w:fill="FFFFFF"/>
        </w:rPr>
        <w:t>документа державного планування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 атмосферного повітря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Заходи для забезпечень нормативного стану атмосферного повітря під час будівництва включають:</w:t>
      </w:r>
    </w:p>
    <w:p w:rsidR="00AB56D1" w:rsidRPr="00406FEC" w:rsidRDefault="00AB56D1" w:rsidP="001A77DC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Влаштування необхідних огороджень (охоронних, захисних або сигнальних);</w:t>
      </w:r>
    </w:p>
    <w:p w:rsidR="00AB56D1" w:rsidRPr="00406FEC" w:rsidRDefault="00AB56D1" w:rsidP="001A77DC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Контроль за точним дот</w:t>
      </w:r>
      <w:r w:rsidR="00292951" w:rsidRPr="00406FEC">
        <w:rPr>
          <w:rFonts w:ascii="Times New Roman" w:hAnsi="Times New Roman" w:cs="Times New Roman"/>
          <w:sz w:val="28"/>
          <w:szCs w:val="28"/>
          <w:lang w:val="uk-UA"/>
        </w:rPr>
        <w:t>риманням технології провадження робіт.</w:t>
      </w:r>
    </w:p>
    <w:p w:rsidR="00AB56D1" w:rsidRPr="00406FEC" w:rsidRDefault="00DA4F68" w:rsidP="001A77DC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AB56D1" w:rsidRPr="00406FEC">
        <w:rPr>
          <w:rFonts w:ascii="Times New Roman" w:hAnsi="Times New Roman" w:cs="Times New Roman"/>
          <w:sz w:val="28"/>
          <w:szCs w:val="28"/>
          <w:lang w:val="uk-UA"/>
        </w:rPr>
        <w:t>риманням технології провадження робіт.</w:t>
      </w:r>
    </w:p>
    <w:p w:rsidR="00AB56D1" w:rsidRPr="00406FEC" w:rsidRDefault="00AB56D1" w:rsidP="001A77DC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Розосередження в часі роботи будівельних машин і механізмів, не задіяних у єдиному безупинному технологічному процесі.</w:t>
      </w:r>
    </w:p>
    <w:p w:rsidR="00AB56D1" w:rsidRPr="00406FEC" w:rsidRDefault="00AB56D1" w:rsidP="001A77DC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Виключення роботи машин та механізмів на холостому ході.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FE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Заходи щодо зменшення шуму та вібрації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Основними джерелами шуму та вібрації при будівництві є будівельна техніка та автотранспорт.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Заходи для зменшення впливу шуму та вібрації на прилеглі території та на території будівельного майданчику включають:</w:t>
      </w:r>
    </w:p>
    <w:p w:rsidR="00AB56D1" w:rsidRPr="00406FEC" w:rsidRDefault="00AB56D1" w:rsidP="001A77DC">
      <w:pPr>
        <w:pStyle w:val="4"/>
        <w:numPr>
          <w:ilvl w:val="0"/>
          <w:numId w:val="14"/>
        </w:numPr>
        <w:shd w:val="clear" w:color="auto" w:fill="auto"/>
        <w:tabs>
          <w:tab w:val="left" w:pos="459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Заборона робіт у районах житлової забудови в нічний час за винятком випадків, коли розпочаті будівельні роботи не можуть бути призупинені.</w:t>
      </w:r>
    </w:p>
    <w:p w:rsidR="00AB56D1" w:rsidRDefault="00AB56D1" w:rsidP="001A77DC">
      <w:pPr>
        <w:pStyle w:val="4"/>
        <w:numPr>
          <w:ilvl w:val="0"/>
          <w:numId w:val="14"/>
        </w:numPr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Частини будівельного уст</w:t>
      </w:r>
      <w:r w:rsidR="00312CF7">
        <w:rPr>
          <w:rFonts w:ascii="Times New Roman" w:hAnsi="Times New Roman" w:cs="Times New Roman"/>
          <w:sz w:val="28"/>
          <w:szCs w:val="28"/>
          <w:lang w:val="uk-UA"/>
        </w:rPr>
        <w:t xml:space="preserve">аткування, які мають вібрацію, 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повинні бути обгороджені і бути максимально віддаленими від найближчих житлових забудов.</w:t>
      </w:r>
    </w:p>
    <w:p w:rsidR="000B771C" w:rsidRPr="00406FEC" w:rsidRDefault="000B771C" w:rsidP="001A77DC">
      <w:pPr>
        <w:pStyle w:val="4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FE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Охорона поверхневих і підземних вод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Заходи для забезпечень нормативного стану поверхневих і підземних вод під час будівництва включають:</w:t>
      </w:r>
    </w:p>
    <w:p w:rsidR="00AB56D1" w:rsidRPr="00406FEC" w:rsidRDefault="00D5510D" w:rsidP="001A77DC">
      <w:pPr>
        <w:pStyle w:val="4"/>
        <w:numPr>
          <w:ilvl w:val="0"/>
          <w:numId w:val="16"/>
        </w:numPr>
        <w:shd w:val="clear" w:color="auto" w:fill="auto"/>
        <w:tabs>
          <w:tab w:val="left" w:pos="459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робіт згідно нормативних вимог з метою недопущення проливу стоків у ґрунт, поверхневі та підземні води</w:t>
      </w:r>
      <w:r w:rsidR="00AB56D1" w:rsidRPr="00406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6D1" w:rsidRPr="00406FEC" w:rsidRDefault="00AB56D1" w:rsidP="001A77DC">
      <w:pPr>
        <w:pStyle w:val="4"/>
        <w:numPr>
          <w:ilvl w:val="0"/>
          <w:numId w:val="16"/>
        </w:numPr>
        <w:shd w:val="clear" w:color="auto" w:fill="auto"/>
        <w:tabs>
          <w:tab w:val="left" w:pos="459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Не допускати попаданню нафтопродуктів у ґрунти. Зливання паливно-мастильних матеріалів в спеціально відведені та обладнані місця.</w:t>
      </w:r>
    </w:p>
    <w:p w:rsidR="00AB56D1" w:rsidRPr="00406FEC" w:rsidRDefault="00DB528C" w:rsidP="001A77DC">
      <w:pPr>
        <w:pStyle w:val="4"/>
        <w:shd w:val="clear" w:color="auto" w:fill="auto"/>
        <w:tabs>
          <w:tab w:val="left" w:pos="103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</w:t>
      </w:r>
      <w:r w:rsidR="00AB56D1" w:rsidRPr="00406F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ґ</w:t>
      </w:r>
      <w:r w:rsidR="00AB56D1" w:rsidRPr="00406FEC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рунту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 xml:space="preserve">Заходи для забезпечення нормативного стану земельних ресурсів під час </w:t>
      </w:r>
      <w:r w:rsidR="004E2B26" w:rsidRPr="00406FEC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 w:rsidR="004E2B26" w:rsidRPr="004E2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включають:</w:t>
      </w:r>
    </w:p>
    <w:p w:rsidR="00AB56D1" w:rsidRPr="00406FEC" w:rsidRDefault="00AB56D1" w:rsidP="001A77DC">
      <w:pPr>
        <w:pStyle w:val="4"/>
        <w:numPr>
          <w:ilvl w:val="0"/>
          <w:numId w:val="17"/>
        </w:numPr>
        <w:shd w:val="clear" w:color="auto" w:fill="auto"/>
        <w:tabs>
          <w:tab w:val="left" w:pos="142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Обов'язкове дотримання меж території, відведеної для </w:t>
      </w:r>
      <w:r w:rsidR="00DB528C">
        <w:rPr>
          <w:rFonts w:ascii="Times New Roman" w:hAnsi="Times New Roman" w:cs="Times New Roman"/>
          <w:sz w:val="28"/>
          <w:szCs w:val="28"/>
          <w:lang w:val="uk-UA"/>
        </w:rPr>
        <w:t>облаштування</w:t>
      </w:r>
      <w:r w:rsidR="00A648A7">
        <w:rPr>
          <w:rFonts w:ascii="Times New Roman" w:hAnsi="Times New Roman" w:cs="Times New Roman"/>
          <w:sz w:val="28"/>
          <w:szCs w:val="28"/>
          <w:lang w:val="uk-UA"/>
        </w:rPr>
        <w:t xml:space="preserve"> складських приміщень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6D1" w:rsidRPr="00406FEC" w:rsidRDefault="00AB56D1" w:rsidP="001A77DC">
      <w:pPr>
        <w:pStyle w:val="4"/>
        <w:numPr>
          <w:ilvl w:val="0"/>
          <w:numId w:val="17"/>
        </w:numPr>
        <w:shd w:val="clear" w:color="auto" w:fill="auto"/>
        <w:tabs>
          <w:tab w:val="left" w:pos="142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 xml:space="preserve">Складування рослинного ґрунту на спеціально відведених майданчиках з наступним використання його при </w:t>
      </w:r>
      <w:r w:rsidR="004E2B26">
        <w:rPr>
          <w:rFonts w:ascii="Times New Roman" w:hAnsi="Times New Roman" w:cs="Times New Roman"/>
          <w:sz w:val="28"/>
          <w:szCs w:val="28"/>
          <w:lang w:val="uk-UA"/>
        </w:rPr>
        <w:t>влаштування благоустрою території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6D1" w:rsidRPr="00406FEC" w:rsidRDefault="00AB56D1" w:rsidP="001A77DC">
      <w:pPr>
        <w:pStyle w:val="4"/>
        <w:numPr>
          <w:ilvl w:val="0"/>
          <w:numId w:val="17"/>
        </w:numPr>
        <w:shd w:val="clear" w:color="auto" w:fill="auto"/>
        <w:tabs>
          <w:tab w:val="left" w:pos="142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Всі будівельні матеріали мають бути розміщені на спеціально відведеній ділянці з твердим покриттям.</w:t>
      </w:r>
    </w:p>
    <w:p w:rsidR="00AB56D1" w:rsidRPr="00406FEC" w:rsidRDefault="00AB56D1" w:rsidP="001A77DC">
      <w:pPr>
        <w:pStyle w:val="4"/>
        <w:numPr>
          <w:ilvl w:val="0"/>
          <w:numId w:val="17"/>
        </w:numPr>
        <w:shd w:val="clear" w:color="auto" w:fill="auto"/>
        <w:tabs>
          <w:tab w:val="left" w:pos="142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Контроль за роботою інженерного обладнання, механізмів і транспортних засобів, своєчасний ремонт, недопущення роботи несправних механізмів.</w:t>
      </w:r>
    </w:p>
    <w:p w:rsidR="00AB56D1" w:rsidRPr="00406FEC" w:rsidRDefault="00AB56D1" w:rsidP="001A77DC">
      <w:pPr>
        <w:pStyle w:val="4"/>
        <w:numPr>
          <w:ilvl w:val="0"/>
          <w:numId w:val="17"/>
        </w:numPr>
        <w:shd w:val="clear" w:color="auto" w:fill="auto"/>
        <w:tabs>
          <w:tab w:val="left" w:pos="142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Заправка будівельної техніки лише закритим способом – автозаправниками.</w:t>
      </w:r>
    </w:p>
    <w:p w:rsidR="00AB56D1" w:rsidRPr="00406FEC" w:rsidRDefault="00AB56D1" w:rsidP="001A77DC">
      <w:pPr>
        <w:pStyle w:val="4"/>
        <w:numPr>
          <w:ilvl w:val="0"/>
          <w:numId w:val="17"/>
        </w:numPr>
        <w:shd w:val="clear" w:color="auto" w:fill="auto"/>
        <w:tabs>
          <w:tab w:val="left" w:pos="142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Складання будівельних матеріалів та конструкцій в межах території відведення на вільних майданчиках з метою уникнення загромадження проїздів та проходів.</w:t>
      </w:r>
    </w:p>
    <w:p w:rsidR="00AB56D1" w:rsidRPr="00406FEC" w:rsidRDefault="00AB56D1" w:rsidP="001A77DC">
      <w:pPr>
        <w:pStyle w:val="4"/>
        <w:shd w:val="clear" w:color="auto" w:fill="auto"/>
        <w:tabs>
          <w:tab w:val="left" w:pos="1226"/>
        </w:tabs>
        <w:spacing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FE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Охорона рослинного і тваринного світу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впливу на тваринний світ під час </w:t>
      </w:r>
      <w:r w:rsidR="00021538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33362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при роботі землерийної техніки. Шум механізмів може стримувати птахів в період гніздування.</w:t>
      </w:r>
      <w:r w:rsidR="00333626">
        <w:rPr>
          <w:rFonts w:ascii="Times New Roman" w:hAnsi="Times New Roman" w:cs="Times New Roman"/>
          <w:sz w:val="28"/>
          <w:szCs w:val="28"/>
          <w:lang w:val="uk-UA"/>
        </w:rPr>
        <w:t xml:space="preserve"> Проектом необхідно передбачити заходи з 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благоустр</w:t>
      </w:r>
      <w:r w:rsidR="0033362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333626">
        <w:rPr>
          <w:rFonts w:ascii="Times New Roman" w:hAnsi="Times New Roman" w:cs="Times New Roman"/>
          <w:sz w:val="28"/>
          <w:szCs w:val="28"/>
          <w:lang w:val="uk-UA"/>
        </w:rPr>
        <w:t xml:space="preserve"> згідно вимог чинного законодавства та врахування найкращих сучасних технологій</w:t>
      </w:r>
      <w:r w:rsidRPr="00406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6D1" w:rsidRPr="00406FEC" w:rsidRDefault="00AB56D1" w:rsidP="001A77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 праці, техніка безпеки, пожежна безпека</w:t>
      </w:r>
    </w:p>
    <w:p w:rsidR="00AB56D1" w:rsidRPr="00406FEC" w:rsidRDefault="00AB56D1" w:rsidP="001A77DC">
      <w:pPr>
        <w:pStyle w:val="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Заходи для забезпечень безпечних умов праці під час будівництва включають:</w:t>
      </w:r>
    </w:p>
    <w:p w:rsidR="00AB56D1" w:rsidRPr="00406FEC" w:rsidRDefault="00AB56D1" w:rsidP="001A77DC">
      <w:pPr>
        <w:pStyle w:val="4"/>
        <w:numPr>
          <w:ilvl w:val="0"/>
          <w:numId w:val="18"/>
        </w:numPr>
        <w:shd w:val="clear" w:color="auto" w:fill="auto"/>
        <w:tabs>
          <w:tab w:val="left" w:pos="47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праці, санітарно-побутове та медичне обслуговування працюючих у відповідності з діючими санітарними нормами.</w:t>
      </w:r>
    </w:p>
    <w:p w:rsidR="00AB56D1" w:rsidRDefault="00AB56D1" w:rsidP="001A77DC">
      <w:pPr>
        <w:pStyle w:val="4"/>
        <w:numPr>
          <w:ilvl w:val="0"/>
          <w:numId w:val="18"/>
        </w:numPr>
        <w:shd w:val="clear" w:color="auto" w:fill="auto"/>
        <w:tabs>
          <w:tab w:val="left" w:pos="47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FEC">
        <w:rPr>
          <w:rFonts w:ascii="Times New Roman" w:hAnsi="Times New Roman" w:cs="Times New Roman"/>
          <w:sz w:val="28"/>
          <w:szCs w:val="28"/>
          <w:lang w:val="uk-UA"/>
        </w:rPr>
        <w:t>Суворе дотримання правил охорони праці та техніки безпеки відповідно до Закону України «Про охорону праці», пожежної безпеки відповідно до Закону України «Про пожежну безпеку» та Правил техніки безпеки в Україні.</w:t>
      </w:r>
    </w:p>
    <w:p w:rsidR="00C278A2" w:rsidRPr="00C278A2" w:rsidRDefault="00E763B2" w:rsidP="001A77DC">
      <w:pPr>
        <w:pStyle w:val="4"/>
        <w:tabs>
          <w:tab w:val="left" w:pos="479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Проектом потрібно передбачити планову</w:t>
      </w:r>
      <w:r w:rsidR="00C278A2" w:rsidRPr="00C278A2">
        <w:rPr>
          <w:rFonts w:ascii="Times New Roman" w:hAnsi="Times New Roman" w:cs="Times New Roman"/>
          <w:sz w:val="28"/>
          <w:szCs w:val="28"/>
          <w:lang w:val="uk-UA"/>
        </w:rPr>
        <w:t xml:space="preserve"> потребу у воді, а також для пожежогасіння.</w:t>
      </w:r>
    </w:p>
    <w:p w:rsidR="00C278A2" w:rsidRPr="00C278A2" w:rsidRDefault="00C278A2" w:rsidP="001A77DC">
      <w:pPr>
        <w:pStyle w:val="4"/>
        <w:tabs>
          <w:tab w:val="left" w:pos="479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8A2">
        <w:rPr>
          <w:rFonts w:ascii="Times New Roman" w:hAnsi="Times New Roman" w:cs="Times New Roman"/>
          <w:sz w:val="28"/>
          <w:szCs w:val="28"/>
          <w:lang w:val="uk-UA"/>
        </w:rPr>
        <w:t>Визначити способи поводження з відходами, що утворюватимуться під час будівництва та експлуатації.</w:t>
      </w:r>
    </w:p>
    <w:p w:rsidR="00C278A2" w:rsidRPr="00C278A2" w:rsidRDefault="00C278A2" w:rsidP="001A77DC">
      <w:pPr>
        <w:pStyle w:val="4"/>
        <w:tabs>
          <w:tab w:val="left" w:pos="479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8A2">
        <w:rPr>
          <w:rFonts w:ascii="Times New Roman" w:hAnsi="Times New Roman" w:cs="Times New Roman"/>
          <w:sz w:val="28"/>
          <w:szCs w:val="28"/>
          <w:lang w:val="uk-UA"/>
        </w:rPr>
        <w:t>Передбачити забезпечення санітарних норм роботи працівників.</w:t>
      </w:r>
    </w:p>
    <w:p w:rsidR="00C278A2" w:rsidRPr="00C278A2" w:rsidRDefault="00C278A2" w:rsidP="001A77DC">
      <w:pPr>
        <w:pStyle w:val="4"/>
        <w:tabs>
          <w:tab w:val="left" w:pos="479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8A2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проведення робіт з рекультивації порушених земель </w:t>
      </w:r>
      <w:r w:rsidRPr="00C278A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вимог існуючого законодавства.</w:t>
      </w:r>
    </w:p>
    <w:p w:rsidR="00C278A2" w:rsidRPr="00C278A2" w:rsidRDefault="00C278A2" w:rsidP="001A77DC">
      <w:pPr>
        <w:pStyle w:val="4"/>
        <w:tabs>
          <w:tab w:val="left" w:pos="479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8A2">
        <w:rPr>
          <w:rFonts w:ascii="Times New Roman" w:hAnsi="Times New Roman" w:cs="Times New Roman"/>
          <w:sz w:val="28"/>
          <w:szCs w:val="28"/>
          <w:lang w:val="uk-UA"/>
        </w:rPr>
        <w:t>На стадії проектування провести докладні розрахунки по об'ємах ґрунту, що виймається, і основних чисельних показниках благоустрою.</w:t>
      </w:r>
    </w:p>
    <w:p w:rsidR="00C278A2" w:rsidRPr="00C278A2" w:rsidRDefault="00C278A2" w:rsidP="001A77DC">
      <w:pPr>
        <w:pStyle w:val="4"/>
        <w:tabs>
          <w:tab w:val="left" w:pos="479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8A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зниження негативних вплив робіт, зокрема, не допускати заправки будівельної техніки паливно-мастильними матеріалами на ділянці. </w:t>
      </w:r>
    </w:p>
    <w:p w:rsidR="00C278A2" w:rsidRDefault="00C278A2" w:rsidP="001A77DC">
      <w:pPr>
        <w:pStyle w:val="4"/>
        <w:shd w:val="clear" w:color="auto" w:fill="auto"/>
        <w:tabs>
          <w:tab w:val="left" w:pos="479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8A2">
        <w:rPr>
          <w:rFonts w:ascii="Times New Roman" w:hAnsi="Times New Roman" w:cs="Times New Roman"/>
          <w:sz w:val="28"/>
          <w:szCs w:val="28"/>
          <w:lang w:val="uk-UA"/>
        </w:rPr>
        <w:t>В склад заходів по інженерній підготовці території, згідно з характером наміченого використання та планувальної організації території, необхідно включити вертикальне планування території, поверхневе водовідведення.</w:t>
      </w:r>
    </w:p>
    <w:p w:rsidR="00C278A2" w:rsidRPr="00406FEC" w:rsidRDefault="00C278A2" w:rsidP="001A77DC">
      <w:pPr>
        <w:pStyle w:val="4"/>
        <w:shd w:val="clear" w:color="auto" w:fill="auto"/>
        <w:tabs>
          <w:tab w:val="left" w:pos="479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F68" w:rsidRPr="00406FEC" w:rsidRDefault="00DA4F68" w:rsidP="001A77D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8. Зміст звіту про стратегічну екологічну оцінку</w:t>
      </w:r>
    </w:p>
    <w:p w:rsidR="00DA4F68" w:rsidRPr="00406FEC" w:rsidRDefault="00DA4F68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06FEC">
        <w:rPr>
          <w:color w:val="000000"/>
          <w:sz w:val="28"/>
          <w:szCs w:val="28"/>
        </w:rPr>
        <w:t>- Основні цілі детального плану, його зв’язок з іншими документами державного планування;</w:t>
      </w:r>
    </w:p>
    <w:p w:rsidR="00DA4F68" w:rsidRPr="00406FEC" w:rsidRDefault="00DA4F68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0" w:name="n105"/>
      <w:bookmarkEnd w:id="0"/>
      <w:r w:rsidRPr="00406FEC">
        <w:rPr>
          <w:color w:val="000000"/>
          <w:sz w:val="28"/>
          <w:szCs w:val="28"/>
        </w:rPr>
        <w:t>-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DA4F68" w:rsidRPr="00406FEC" w:rsidRDefault="00DA4F68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1" w:name="n106"/>
      <w:bookmarkEnd w:id="1"/>
      <w:r w:rsidRPr="00406FEC">
        <w:rPr>
          <w:color w:val="000000"/>
          <w:sz w:val="28"/>
          <w:szCs w:val="28"/>
        </w:rPr>
        <w:t>-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DA4F68" w:rsidRPr="00406FEC" w:rsidRDefault="00DA4F68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2" w:name="n107"/>
      <w:bookmarkEnd w:id="2"/>
      <w:r w:rsidRPr="00406FEC">
        <w:rPr>
          <w:color w:val="000000"/>
          <w:sz w:val="28"/>
          <w:szCs w:val="28"/>
        </w:rPr>
        <w:t>- екологічні проблеми, у тому числі ризики впливу на здоров’я населення, які стосуються детального плану території,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DA4F68" w:rsidRPr="00406FEC" w:rsidRDefault="00DA4F68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3" w:name="n108"/>
      <w:bookmarkEnd w:id="3"/>
      <w:r w:rsidRPr="00406FEC">
        <w:rPr>
          <w:color w:val="000000"/>
          <w:sz w:val="28"/>
          <w:szCs w:val="28"/>
        </w:rPr>
        <w:t>- зобов’язання у сфері охорони довкілля, у тому числі пов’язані із запобіганням негативному впливу на здоров’я населення, встановлені на  державному та місцевому рівнях, що стосуються детального плану території;</w:t>
      </w:r>
    </w:p>
    <w:p w:rsidR="00A73C3F" w:rsidRPr="00406FEC" w:rsidRDefault="00A73C3F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406FEC">
        <w:rPr>
          <w:color w:val="000000"/>
          <w:sz w:val="28"/>
          <w:szCs w:val="28"/>
        </w:rPr>
        <w:t xml:space="preserve">- </w:t>
      </w:r>
      <w:r w:rsidRPr="00406FEC">
        <w:rPr>
          <w:color w:val="000000" w:themeColor="text1"/>
          <w:sz w:val="28"/>
          <w:szCs w:val="28"/>
        </w:rPr>
        <w:t>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</w:t>
      </w:r>
    </w:p>
    <w:p w:rsidR="00DA4F68" w:rsidRPr="00406FEC" w:rsidRDefault="00A73C3F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4" w:name="n109"/>
      <w:bookmarkStart w:id="5" w:name="n110"/>
      <w:bookmarkEnd w:id="4"/>
      <w:bookmarkEnd w:id="5"/>
      <w:r w:rsidRPr="00406FEC">
        <w:rPr>
          <w:color w:val="000000"/>
          <w:sz w:val="28"/>
          <w:szCs w:val="28"/>
        </w:rPr>
        <w:t>-</w:t>
      </w:r>
      <w:r w:rsidR="00DA4F68" w:rsidRPr="00406FEC">
        <w:rPr>
          <w:color w:val="000000"/>
          <w:sz w:val="28"/>
          <w:szCs w:val="28"/>
        </w:rPr>
        <w:t xml:space="preserve"> заходи, що передбачається вжити для запобігання, зменшення та пом’якшення негативних наслідків виконання детального плану території;</w:t>
      </w:r>
    </w:p>
    <w:p w:rsidR="00DA4F68" w:rsidRPr="00406FEC" w:rsidRDefault="00A73C3F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6" w:name="n111"/>
      <w:bookmarkEnd w:id="6"/>
      <w:r w:rsidRPr="00406FEC">
        <w:rPr>
          <w:color w:val="000000"/>
          <w:sz w:val="28"/>
          <w:szCs w:val="28"/>
        </w:rPr>
        <w:t>-</w:t>
      </w:r>
      <w:r w:rsidR="00DA4F68" w:rsidRPr="00406FEC">
        <w:rPr>
          <w:color w:val="000000"/>
          <w:sz w:val="28"/>
          <w:szCs w:val="28"/>
        </w:rPr>
        <w:t xml:space="preserve"> обґрунтування вибору виправданих альтернатив, якщо такі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DA4F68" w:rsidRPr="00406FEC" w:rsidRDefault="00A73C3F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7" w:name="n112"/>
      <w:bookmarkEnd w:id="7"/>
      <w:r w:rsidRPr="00406FEC">
        <w:rPr>
          <w:color w:val="000000"/>
          <w:sz w:val="28"/>
          <w:szCs w:val="28"/>
        </w:rPr>
        <w:t>-</w:t>
      </w:r>
      <w:r w:rsidR="00DA4F68" w:rsidRPr="00406FEC">
        <w:rPr>
          <w:color w:val="000000"/>
          <w:sz w:val="28"/>
          <w:szCs w:val="28"/>
        </w:rPr>
        <w:t xml:space="preserve"> заходи, передбачені для здійснення моніторингу наслідків виконання детального плану території для довкілля, у тому числі для здоров’я населення.</w:t>
      </w:r>
    </w:p>
    <w:p w:rsidR="00A73C3F" w:rsidRDefault="00A73C3F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406FEC">
        <w:rPr>
          <w:color w:val="000000"/>
          <w:sz w:val="28"/>
          <w:szCs w:val="28"/>
        </w:rPr>
        <w:t xml:space="preserve">- </w:t>
      </w:r>
      <w:r w:rsidRPr="00406FEC">
        <w:rPr>
          <w:color w:val="000000" w:themeColor="text1"/>
          <w:sz w:val="28"/>
          <w:szCs w:val="28"/>
        </w:rPr>
        <w:t>резюме нет</w:t>
      </w:r>
      <w:r w:rsidR="00106CB1">
        <w:rPr>
          <w:color w:val="000000" w:themeColor="text1"/>
          <w:sz w:val="28"/>
          <w:szCs w:val="28"/>
        </w:rPr>
        <w:t>ехнічного характеру інформації</w:t>
      </w:r>
      <w:r w:rsidRPr="00406FEC">
        <w:rPr>
          <w:color w:val="000000" w:themeColor="text1"/>
          <w:sz w:val="28"/>
          <w:szCs w:val="28"/>
        </w:rPr>
        <w:t>, розраховане на широку аудиторію</w:t>
      </w:r>
    </w:p>
    <w:p w:rsidR="004B7E5C" w:rsidRPr="00406FEC" w:rsidRDefault="004B7E5C" w:rsidP="001A77D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</w:p>
    <w:p w:rsidR="00477059" w:rsidRPr="00406FEC" w:rsidRDefault="00477059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Орган до якого подаються зауваження та пропозиції</w:t>
      </w:r>
    </w:p>
    <w:p w:rsidR="00106CB1" w:rsidRPr="00AE6535" w:rsidRDefault="00A648A7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Володимир-Волинська міська рада</w:t>
      </w:r>
      <w:r w:rsidR="004B7E5C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(</w:t>
      </w:r>
      <w:r w:rsidRPr="00A6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вулиця Данила Галицького, 5, </w:t>
      </w:r>
      <w:r w:rsidR="00DF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 </w:t>
      </w:r>
      <w:r w:rsidRPr="00A6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Володимир-Волинський, Волинська область, 44701</w:t>
      </w:r>
      <w:r w:rsidR="004B7E5C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50868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3D5092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тел.</w:t>
      </w:r>
      <w:r w:rsidR="00D50868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8653A7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342</w:t>
      </w:r>
      <w:r w:rsidR="008653A7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35701</w:t>
      </w:r>
      <w:r w:rsidR="00D50868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електронна адреса: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</w:t>
      </w:r>
      <w:r w:rsidR="008653A7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volodymyrra</w:t>
      </w:r>
      <w:r w:rsidR="008653A7" w:rsidRPr="008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da.gov.ua</w:t>
      </w:r>
    </w:p>
    <w:p w:rsidR="00106CB1" w:rsidRDefault="00106CB1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059" w:rsidRPr="00406FEC" w:rsidRDefault="00477059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Строки подання </w:t>
      </w:r>
    </w:p>
    <w:p w:rsidR="008774CC" w:rsidRDefault="00477059" w:rsidP="00A648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15 днів з дня </w:t>
      </w:r>
      <w:r w:rsidR="00AF4DD7"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публікації</w:t>
      </w:r>
      <w:r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заяви про визначення обсягу стратегічної екологічної оцінки </w:t>
      </w:r>
      <w:r w:rsidR="00AE6535" w:rsidRPr="00AE6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детального плану території </w:t>
      </w:r>
      <w:r w:rsidR="00A648A7" w:rsidRPr="00A64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будівництва та обслуговування складу мінеральних добрив,</w:t>
      </w:r>
      <w:r w:rsidR="00A64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648A7" w:rsidRPr="00A64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засобів захисту рослин та паливно-мастильних матеріалів в м. Володимир-Волинський, вул.</w:t>
      </w:r>
      <w:r w:rsidR="00A64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A648A7" w:rsidRPr="00A64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Наталії Ужвій, 23а, Волинської області</w:t>
      </w:r>
      <w:r w:rsidR="008653A7" w:rsidRPr="0086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6287A"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(відповідно до п</w:t>
      </w:r>
      <w:r w:rsidR="00697E13"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6287A"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п. 5,</w:t>
      </w:r>
      <w:r w:rsidR="00697E13"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6287A" w:rsidRPr="0040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 ст. 10 Закону України "Про стратегічну екологічну оцінку").  </w:t>
      </w:r>
    </w:p>
    <w:p w:rsidR="008C1102" w:rsidRDefault="008C1102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A26B3" w:rsidRDefault="008A26B3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A26B3" w:rsidRDefault="008A26B3" w:rsidP="001A7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8" w:name="_GoBack"/>
      <w:bookmarkEnd w:id="8"/>
    </w:p>
    <w:sectPr w:rsidR="008A26B3" w:rsidSect="009078E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71" w:rsidRDefault="002F1971" w:rsidP="00477059">
      <w:pPr>
        <w:spacing w:after="0" w:line="240" w:lineRule="auto"/>
      </w:pPr>
      <w:r>
        <w:separator/>
      </w:r>
    </w:p>
  </w:endnote>
  <w:endnote w:type="continuationSeparator" w:id="0">
    <w:p w:rsidR="002F1971" w:rsidRDefault="002F1971" w:rsidP="0047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71" w:rsidRDefault="002F1971" w:rsidP="00477059">
      <w:pPr>
        <w:spacing w:after="0" w:line="240" w:lineRule="auto"/>
      </w:pPr>
      <w:r>
        <w:separator/>
      </w:r>
    </w:p>
  </w:footnote>
  <w:footnote w:type="continuationSeparator" w:id="0">
    <w:p w:rsidR="002F1971" w:rsidRDefault="002F1971" w:rsidP="0047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98B"/>
    <w:multiLevelType w:val="hybridMultilevel"/>
    <w:tmpl w:val="1A882738"/>
    <w:lvl w:ilvl="0" w:tplc="6D863B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BD5"/>
    <w:multiLevelType w:val="multilevel"/>
    <w:tmpl w:val="AB1A9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41B7A"/>
    <w:multiLevelType w:val="hybridMultilevel"/>
    <w:tmpl w:val="C15A2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607A0"/>
    <w:multiLevelType w:val="hybridMultilevel"/>
    <w:tmpl w:val="7C542FE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A2A55"/>
    <w:multiLevelType w:val="hybridMultilevel"/>
    <w:tmpl w:val="56B615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C4407"/>
    <w:multiLevelType w:val="hybridMultilevel"/>
    <w:tmpl w:val="51C0CD1C"/>
    <w:lvl w:ilvl="0" w:tplc="B096F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E43E6F"/>
    <w:multiLevelType w:val="hybridMultilevel"/>
    <w:tmpl w:val="D76E38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4B4CFE"/>
    <w:multiLevelType w:val="hybridMultilevel"/>
    <w:tmpl w:val="D5DAC6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25061"/>
    <w:multiLevelType w:val="hybridMultilevel"/>
    <w:tmpl w:val="57D2AEB8"/>
    <w:lvl w:ilvl="0" w:tplc="3B0CB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130AB7"/>
    <w:multiLevelType w:val="hybridMultilevel"/>
    <w:tmpl w:val="A5D45E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1220"/>
    <w:multiLevelType w:val="hybridMultilevel"/>
    <w:tmpl w:val="006C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A61926"/>
    <w:multiLevelType w:val="hybridMultilevel"/>
    <w:tmpl w:val="0E44AEB0"/>
    <w:lvl w:ilvl="0" w:tplc="424C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671EF1"/>
    <w:multiLevelType w:val="hybridMultilevel"/>
    <w:tmpl w:val="2DB8425C"/>
    <w:lvl w:ilvl="0" w:tplc="5574D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99186F"/>
    <w:multiLevelType w:val="hybridMultilevel"/>
    <w:tmpl w:val="3B7096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3821"/>
    <w:multiLevelType w:val="hybridMultilevel"/>
    <w:tmpl w:val="42BA34B2"/>
    <w:lvl w:ilvl="0" w:tplc="544C6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803020"/>
    <w:multiLevelType w:val="hybridMultilevel"/>
    <w:tmpl w:val="0AF005E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F70C5B"/>
    <w:multiLevelType w:val="hybridMultilevel"/>
    <w:tmpl w:val="5F0A62CA"/>
    <w:lvl w:ilvl="0" w:tplc="0422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7" w15:restartNumberingAfterBreak="0">
    <w:nsid w:val="66230B71"/>
    <w:multiLevelType w:val="hybridMultilevel"/>
    <w:tmpl w:val="3C084A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7B76CF"/>
    <w:multiLevelType w:val="hybridMultilevel"/>
    <w:tmpl w:val="21BCA01E"/>
    <w:lvl w:ilvl="0" w:tplc="F60CB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423314E"/>
    <w:multiLevelType w:val="hybridMultilevel"/>
    <w:tmpl w:val="FA344F30"/>
    <w:lvl w:ilvl="0" w:tplc="00645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A704CB"/>
    <w:multiLevelType w:val="hybridMultilevel"/>
    <w:tmpl w:val="06D461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1376B5"/>
    <w:multiLevelType w:val="hybridMultilevel"/>
    <w:tmpl w:val="7E4A4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706CED"/>
    <w:multiLevelType w:val="hybridMultilevel"/>
    <w:tmpl w:val="FEC0C2A8"/>
    <w:lvl w:ilvl="0" w:tplc="C0CCD5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2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5E6CA6"/>
    <w:multiLevelType w:val="hybridMultilevel"/>
    <w:tmpl w:val="F9F6F6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9"/>
  </w:num>
  <w:num w:numId="5">
    <w:abstractNumId w:val="7"/>
  </w:num>
  <w:num w:numId="6">
    <w:abstractNumId w:val="17"/>
  </w:num>
  <w:num w:numId="7">
    <w:abstractNumId w:val="13"/>
  </w:num>
  <w:num w:numId="8">
    <w:abstractNumId w:val="15"/>
  </w:num>
  <w:num w:numId="9">
    <w:abstractNumId w:val="6"/>
  </w:num>
  <w:num w:numId="10">
    <w:abstractNumId w:val="10"/>
  </w:num>
  <w:num w:numId="11">
    <w:abstractNumId w:val="20"/>
  </w:num>
  <w:num w:numId="12">
    <w:abstractNumId w:val="21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12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19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D"/>
    <w:rsid w:val="00004136"/>
    <w:rsid w:val="00013EA2"/>
    <w:rsid w:val="00021538"/>
    <w:rsid w:val="00075D7A"/>
    <w:rsid w:val="00085CFA"/>
    <w:rsid w:val="00092A16"/>
    <w:rsid w:val="000956CF"/>
    <w:rsid w:val="000A06E5"/>
    <w:rsid w:val="000A47C4"/>
    <w:rsid w:val="000A4C03"/>
    <w:rsid w:val="000B771C"/>
    <w:rsid w:val="000D0FA9"/>
    <w:rsid w:val="000D19A3"/>
    <w:rsid w:val="000E2B54"/>
    <w:rsid w:val="00101CED"/>
    <w:rsid w:val="00106CB1"/>
    <w:rsid w:val="0016350F"/>
    <w:rsid w:val="00164E34"/>
    <w:rsid w:val="0016761C"/>
    <w:rsid w:val="001736C0"/>
    <w:rsid w:val="00185B8B"/>
    <w:rsid w:val="00194506"/>
    <w:rsid w:val="001A77DC"/>
    <w:rsid w:val="001C7BBF"/>
    <w:rsid w:val="001D5880"/>
    <w:rsid w:val="002168F8"/>
    <w:rsid w:val="00233954"/>
    <w:rsid w:val="00234237"/>
    <w:rsid w:val="00243626"/>
    <w:rsid w:val="00252430"/>
    <w:rsid w:val="00267D07"/>
    <w:rsid w:val="002800BF"/>
    <w:rsid w:val="00290C94"/>
    <w:rsid w:val="0029166A"/>
    <w:rsid w:val="00292951"/>
    <w:rsid w:val="002B736B"/>
    <w:rsid w:val="002D6E2E"/>
    <w:rsid w:val="002F1971"/>
    <w:rsid w:val="002F6568"/>
    <w:rsid w:val="00312CF7"/>
    <w:rsid w:val="00333626"/>
    <w:rsid w:val="00336793"/>
    <w:rsid w:val="00350E5D"/>
    <w:rsid w:val="003539EA"/>
    <w:rsid w:val="0036287A"/>
    <w:rsid w:val="003668D6"/>
    <w:rsid w:val="003816AD"/>
    <w:rsid w:val="003A114B"/>
    <w:rsid w:val="003D5092"/>
    <w:rsid w:val="003E48A6"/>
    <w:rsid w:val="003E507F"/>
    <w:rsid w:val="003F3539"/>
    <w:rsid w:val="003F4849"/>
    <w:rsid w:val="00401E78"/>
    <w:rsid w:val="00406FEC"/>
    <w:rsid w:val="00424BE1"/>
    <w:rsid w:val="00430693"/>
    <w:rsid w:val="00455F8A"/>
    <w:rsid w:val="00456F19"/>
    <w:rsid w:val="00477059"/>
    <w:rsid w:val="004A1D4E"/>
    <w:rsid w:val="004B7E5C"/>
    <w:rsid w:val="004C2DCB"/>
    <w:rsid w:val="004D6BED"/>
    <w:rsid w:val="004E2B26"/>
    <w:rsid w:val="004F31EE"/>
    <w:rsid w:val="00505BEE"/>
    <w:rsid w:val="0051513C"/>
    <w:rsid w:val="005501CE"/>
    <w:rsid w:val="005515F4"/>
    <w:rsid w:val="00552DB0"/>
    <w:rsid w:val="0055698A"/>
    <w:rsid w:val="00565BE7"/>
    <w:rsid w:val="00574AFE"/>
    <w:rsid w:val="00575D81"/>
    <w:rsid w:val="0057782F"/>
    <w:rsid w:val="00593DEE"/>
    <w:rsid w:val="005B250A"/>
    <w:rsid w:val="005B7048"/>
    <w:rsid w:val="005D1664"/>
    <w:rsid w:val="005D554B"/>
    <w:rsid w:val="0061691A"/>
    <w:rsid w:val="00621815"/>
    <w:rsid w:val="00624AE0"/>
    <w:rsid w:val="006370B7"/>
    <w:rsid w:val="0066346D"/>
    <w:rsid w:val="00670574"/>
    <w:rsid w:val="00671DE4"/>
    <w:rsid w:val="0068299F"/>
    <w:rsid w:val="006845B9"/>
    <w:rsid w:val="00697E13"/>
    <w:rsid w:val="006A7B30"/>
    <w:rsid w:val="006C1B4E"/>
    <w:rsid w:val="006C578A"/>
    <w:rsid w:val="006D039D"/>
    <w:rsid w:val="006D5547"/>
    <w:rsid w:val="006E088D"/>
    <w:rsid w:val="006E26AF"/>
    <w:rsid w:val="006F3E99"/>
    <w:rsid w:val="00711F90"/>
    <w:rsid w:val="007202F1"/>
    <w:rsid w:val="007234EB"/>
    <w:rsid w:val="00727A58"/>
    <w:rsid w:val="00737E29"/>
    <w:rsid w:val="0075436B"/>
    <w:rsid w:val="00763320"/>
    <w:rsid w:val="00782BA3"/>
    <w:rsid w:val="00790A08"/>
    <w:rsid w:val="00793CA1"/>
    <w:rsid w:val="007B1964"/>
    <w:rsid w:val="007E30A6"/>
    <w:rsid w:val="007F1FC9"/>
    <w:rsid w:val="00807679"/>
    <w:rsid w:val="00811BB5"/>
    <w:rsid w:val="00816791"/>
    <w:rsid w:val="00816C3B"/>
    <w:rsid w:val="00842A6B"/>
    <w:rsid w:val="008500F6"/>
    <w:rsid w:val="00851FF2"/>
    <w:rsid w:val="008653A7"/>
    <w:rsid w:val="0087240C"/>
    <w:rsid w:val="008774CC"/>
    <w:rsid w:val="008950AE"/>
    <w:rsid w:val="008A26B3"/>
    <w:rsid w:val="008C1102"/>
    <w:rsid w:val="008D7221"/>
    <w:rsid w:val="008E02A9"/>
    <w:rsid w:val="008F7312"/>
    <w:rsid w:val="00903701"/>
    <w:rsid w:val="009078E6"/>
    <w:rsid w:val="00943A46"/>
    <w:rsid w:val="0094492C"/>
    <w:rsid w:val="00953634"/>
    <w:rsid w:val="00954A9D"/>
    <w:rsid w:val="009774A5"/>
    <w:rsid w:val="0098611F"/>
    <w:rsid w:val="009A441D"/>
    <w:rsid w:val="009B6C51"/>
    <w:rsid w:val="009C08AB"/>
    <w:rsid w:val="009E1D5B"/>
    <w:rsid w:val="009E4819"/>
    <w:rsid w:val="009F7AA2"/>
    <w:rsid w:val="00A21510"/>
    <w:rsid w:val="00A2201C"/>
    <w:rsid w:val="00A230D1"/>
    <w:rsid w:val="00A53D91"/>
    <w:rsid w:val="00A5720E"/>
    <w:rsid w:val="00A601B3"/>
    <w:rsid w:val="00A640F5"/>
    <w:rsid w:val="00A648A7"/>
    <w:rsid w:val="00A654A9"/>
    <w:rsid w:val="00A70CFF"/>
    <w:rsid w:val="00A7321F"/>
    <w:rsid w:val="00A73C3F"/>
    <w:rsid w:val="00A7726E"/>
    <w:rsid w:val="00A8377C"/>
    <w:rsid w:val="00A87547"/>
    <w:rsid w:val="00AB2BBA"/>
    <w:rsid w:val="00AB56D1"/>
    <w:rsid w:val="00AC4358"/>
    <w:rsid w:val="00AE6535"/>
    <w:rsid w:val="00AF4DD7"/>
    <w:rsid w:val="00AF79DB"/>
    <w:rsid w:val="00B05FCE"/>
    <w:rsid w:val="00B133AC"/>
    <w:rsid w:val="00B14277"/>
    <w:rsid w:val="00B151FC"/>
    <w:rsid w:val="00B15739"/>
    <w:rsid w:val="00B202F7"/>
    <w:rsid w:val="00B35EE1"/>
    <w:rsid w:val="00B46367"/>
    <w:rsid w:val="00B57B07"/>
    <w:rsid w:val="00B64453"/>
    <w:rsid w:val="00B66A36"/>
    <w:rsid w:val="00B70204"/>
    <w:rsid w:val="00B86664"/>
    <w:rsid w:val="00BA5922"/>
    <w:rsid w:val="00BA6EBB"/>
    <w:rsid w:val="00BB2460"/>
    <w:rsid w:val="00BE0AE9"/>
    <w:rsid w:val="00BE4778"/>
    <w:rsid w:val="00BF0E97"/>
    <w:rsid w:val="00BF4AB4"/>
    <w:rsid w:val="00C17DC7"/>
    <w:rsid w:val="00C278A2"/>
    <w:rsid w:val="00C37C82"/>
    <w:rsid w:val="00C37FE6"/>
    <w:rsid w:val="00C419CD"/>
    <w:rsid w:val="00C5462D"/>
    <w:rsid w:val="00C61BF0"/>
    <w:rsid w:val="00C62D31"/>
    <w:rsid w:val="00C65280"/>
    <w:rsid w:val="00C65FFD"/>
    <w:rsid w:val="00C72CD5"/>
    <w:rsid w:val="00C7637F"/>
    <w:rsid w:val="00C96C4D"/>
    <w:rsid w:val="00CC66AF"/>
    <w:rsid w:val="00CE4562"/>
    <w:rsid w:val="00CE5368"/>
    <w:rsid w:val="00D0084E"/>
    <w:rsid w:val="00D057C6"/>
    <w:rsid w:val="00D25F30"/>
    <w:rsid w:val="00D3145F"/>
    <w:rsid w:val="00D40E0B"/>
    <w:rsid w:val="00D50868"/>
    <w:rsid w:val="00D5510D"/>
    <w:rsid w:val="00D73159"/>
    <w:rsid w:val="00D7434C"/>
    <w:rsid w:val="00D77871"/>
    <w:rsid w:val="00D85836"/>
    <w:rsid w:val="00D86A20"/>
    <w:rsid w:val="00D86ACE"/>
    <w:rsid w:val="00D9347E"/>
    <w:rsid w:val="00DA4F68"/>
    <w:rsid w:val="00DB528C"/>
    <w:rsid w:val="00DD67ED"/>
    <w:rsid w:val="00DE5B41"/>
    <w:rsid w:val="00DF1390"/>
    <w:rsid w:val="00DF2447"/>
    <w:rsid w:val="00DF5FC3"/>
    <w:rsid w:val="00DF7BDB"/>
    <w:rsid w:val="00E065AF"/>
    <w:rsid w:val="00E249D0"/>
    <w:rsid w:val="00E3128C"/>
    <w:rsid w:val="00E312AB"/>
    <w:rsid w:val="00E332FB"/>
    <w:rsid w:val="00E337AF"/>
    <w:rsid w:val="00E67DD7"/>
    <w:rsid w:val="00E763B2"/>
    <w:rsid w:val="00E851A3"/>
    <w:rsid w:val="00EA0938"/>
    <w:rsid w:val="00EB4ECF"/>
    <w:rsid w:val="00EC793C"/>
    <w:rsid w:val="00EF71D6"/>
    <w:rsid w:val="00EF75BE"/>
    <w:rsid w:val="00F10E99"/>
    <w:rsid w:val="00F11021"/>
    <w:rsid w:val="00F41DF1"/>
    <w:rsid w:val="00F4462D"/>
    <w:rsid w:val="00F47C99"/>
    <w:rsid w:val="00F63B2B"/>
    <w:rsid w:val="00FA3D00"/>
    <w:rsid w:val="00FA411E"/>
    <w:rsid w:val="00FC438D"/>
    <w:rsid w:val="00FD5F6F"/>
    <w:rsid w:val="00FE6803"/>
    <w:rsid w:val="00FF25D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E749A8-E559-4673-A93A-B2C0E78E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74CC"/>
    <w:pPr>
      <w:spacing w:after="160" w:line="259" w:lineRule="auto"/>
      <w:ind w:left="720"/>
      <w:contextualSpacing/>
    </w:pPr>
    <w:rPr>
      <w:lang w:val="en-US"/>
    </w:rPr>
  </w:style>
  <w:style w:type="character" w:customStyle="1" w:styleId="a4">
    <w:name w:val="Абзац списку Знак"/>
    <w:link w:val="a3"/>
    <w:uiPriority w:val="34"/>
    <w:qFormat/>
    <w:rsid w:val="008774CC"/>
    <w:rPr>
      <w:lang w:val="en-US"/>
    </w:rPr>
  </w:style>
  <w:style w:type="paragraph" w:styleId="a5">
    <w:name w:val="Body Text Indent"/>
    <w:aliases w:val=" Знак3 Знак,Основной текст с отступом Знак1 Знак,Основной текст с отступом Знак Знак Знак, Знак3 Знак Знак Знак,Основной текст с отступом Знак Знак,Основной текст с отступом Знак Знак1,Body Text 2 Char"/>
    <w:basedOn w:val="a"/>
    <w:link w:val="a6"/>
    <w:rsid w:val="00552DB0"/>
    <w:pPr>
      <w:spacing w:after="120" w:line="240" w:lineRule="auto"/>
      <w:ind w:left="283"/>
    </w:pPr>
    <w:rPr>
      <w:rFonts w:ascii="Verdana" w:eastAsia="Times New Roman" w:hAnsi="Verdana" w:cs="Times New Roman"/>
      <w:color w:val="000000"/>
      <w:sz w:val="24"/>
      <w:szCs w:val="24"/>
      <w:lang w:val="x-none" w:eastAsia="x-none"/>
    </w:rPr>
  </w:style>
  <w:style w:type="character" w:customStyle="1" w:styleId="a6">
    <w:name w:val="Основний текст з відступом Знак"/>
    <w:aliases w:val=" Знак3 Знак Знак,Основной текст с отступом Знак1 Знак Знак,Основной текст с отступом Знак Знак Знак Знак, Знак3 Знак Знак Знак Знак,Основной текст с отступом Знак Знак Знак1,Основной текст с отступом Знак Знак1 Знак"/>
    <w:basedOn w:val="a0"/>
    <w:link w:val="a5"/>
    <w:rsid w:val="00552DB0"/>
    <w:rPr>
      <w:rFonts w:ascii="Verdana" w:eastAsia="Times New Roman" w:hAnsi="Verdana" w:cs="Times New Roman"/>
      <w:color w:val="000000"/>
      <w:sz w:val="24"/>
      <w:szCs w:val="24"/>
      <w:lang w:val="x-none" w:eastAsia="x-none"/>
    </w:rPr>
  </w:style>
  <w:style w:type="paragraph" w:customStyle="1" w:styleId="rvps2">
    <w:name w:val="rvps2"/>
    <w:basedOn w:val="a"/>
    <w:rsid w:val="0051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99"/>
    <w:unhideWhenUsed/>
    <w:rsid w:val="004A1D4E"/>
    <w:pPr>
      <w:spacing w:after="120" w:line="259" w:lineRule="auto"/>
    </w:pPr>
    <w:rPr>
      <w:lang w:val="en-US"/>
    </w:rPr>
  </w:style>
  <w:style w:type="character" w:customStyle="1" w:styleId="a8">
    <w:name w:val="Основний текст Знак"/>
    <w:basedOn w:val="a0"/>
    <w:link w:val="a7"/>
    <w:uiPriority w:val="99"/>
    <w:rsid w:val="004A1D4E"/>
    <w:rPr>
      <w:lang w:val="en-US"/>
    </w:rPr>
  </w:style>
  <w:style w:type="paragraph" w:customStyle="1" w:styleId="1">
    <w:name w:val="Абзац списку1"/>
    <w:aliases w:val="Gaia List Paragraph,Gaia List Paragraph1,Normal bullet 2,Gaia List Paragraph2,Gaia List Paragraph3,titre,normal,Heading 2_sj,Numbered Para 1,Dot pt,No Spacing1,List Paragraph Char Char Char,Indicator Text,Bullet 1,List Paragraph1"/>
    <w:basedOn w:val="a"/>
    <w:uiPriority w:val="34"/>
    <w:qFormat/>
    <w:rsid w:val="004A1D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4A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4"/>
      <w:szCs w:val="1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A1D4E"/>
    <w:rPr>
      <w:rFonts w:ascii="Courier New" w:eastAsia="Times New Roman" w:hAnsi="Courier New" w:cs="Times New Roman"/>
      <w:sz w:val="14"/>
      <w:szCs w:val="14"/>
      <w:lang w:eastAsia="ru-RU"/>
    </w:rPr>
  </w:style>
  <w:style w:type="paragraph" w:customStyle="1" w:styleId="tabl">
    <w:name w:val="tabl"/>
    <w:qFormat/>
    <w:rsid w:val="004A1D4E"/>
    <w:pPr>
      <w:widowControl w:val="0"/>
      <w:spacing w:after="160" w:line="360" w:lineRule="auto"/>
      <w:ind w:left="120"/>
    </w:pPr>
    <w:rPr>
      <w:rFonts w:ascii="Times New Roman" w:eastAsia="SimSun" w:hAnsi="Times New Roman" w:cs="Times New Roman"/>
      <w:b/>
      <w:sz w:val="28"/>
      <w:szCs w:val="28"/>
      <w:lang w:val="uk-UA" w:eastAsia="uk-UA"/>
    </w:rPr>
  </w:style>
  <w:style w:type="paragraph" w:customStyle="1" w:styleId="22">
    <w:name w:val="Основний текст (2)2"/>
    <w:basedOn w:val="a"/>
    <w:qFormat/>
    <w:rsid w:val="004A1D4E"/>
    <w:pPr>
      <w:widowControl w:val="0"/>
      <w:shd w:val="clear" w:color="auto" w:fill="FFFFFF"/>
      <w:spacing w:after="160" w:line="394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paragraph" w:customStyle="1" w:styleId="TableParagraph">
    <w:name w:val="Table Paragraph"/>
    <w:basedOn w:val="a"/>
    <w:qFormat/>
    <w:rsid w:val="004A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763320"/>
    <w:rPr>
      <w:color w:val="0000FF"/>
      <w:u w:val="single"/>
    </w:rPr>
  </w:style>
  <w:style w:type="character" w:customStyle="1" w:styleId="aa">
    <w:name w:val="Основной текст_"/>
    <w:link w:val="4"/>
    <w:rsid w:val="003816AD"/>
    <w:rPr>
      <w:spacing w:val="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3816AD"/>
    <w:pPr>
      <w:widowControl w:val="0"/>
      <w:shd w:val="clear" w:color="auto" w:fill="FFFFFF"/>
      <w:spacing w:after="0" w:line="206" w:lineRule="exact"/>
      <w:ind w:hanging="660"/>
      <w:jc w:val="center"/>
    </w:pPr>
    <w:rPr>
      <w:spacing w:val="1"/>
      <w:sz w:val="23"/>
      <w:szCs w:val="23"/>
    </w:rPr>
  </w:style>
  <w:style w:type="character" w:customStyle="1" w:styleId="rvts9">
    <w:name w:val="rvts9"/>
    <w:basedOn w:val="a0"/>
    <w:rsid w:val="008C1102"/>
  </w:style>
  <w:style w:type="paragraph" w:styleId="ab">
    <w:name w:val="header"/>
    <w:basedOn w:val="a"/>
    <w:link w:val="ac"/>
    <w:uiPriority w:val="99"/>
    <w:unhideWhenUsed/>
    <w:rsid w:val="0047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477059"/>
  </w:style>
  <w:style w:type="paragraph" w:styleId="ad">
    <w:name w:val="footer"/>
    <w:basedOn w:val="a"/>
    <w:link w:val="ae"/>
    <w:uiPriority w:val="99"/>
    <w:unhideWhenUsed/>
    <w:rsid w:val="0047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77059"/>
  </w:style>
  <w:style w:type="paragraph" w:styleId="af">
    <w:name w:val="Balloon Text"/>
    <w:basedOn w:val="a"/>
    <w:link w:val="af0"/>
    <w:uiPriority w:val="99"/>
    <w:semiHidden/>
    <w:unhideWhenUsed/>
    <w:rsid w:val="00AF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F4DD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DE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19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C%D1%96%D0%BB%D1%96%D0%BC%D0%B5%D1%8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15913</Words>
  <Characters>9071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Admin</cp:lastModifiedBy>
  <cp:revision>2</cp:revision>
  <cp:lastPrinted>2019-02-20T15:54:00Z</cp:lastPrinted>
  <dcterms:created xsi:type="dcterms:W3CDTF">2020-09-29T08:00:00Z</dcterms:created>
  <dcterms:modified xsi:type="dcterms:W3CDTF">2020-09-29T08:00:00Z</dcterms:modified>
</cp:coreProperties>
</file>