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D0" w:rsidRDefault="00F831F5" w:rsidP="00F831F5">
      <w:pPr>
        <w:jc w:val="center"/>
        <w:rPr>
          <w:rStyle w:val="a4"/>
          <w:rFonts w:ascii="Times New Roman" w:hAnsi="Times New Roman" w:cs="Times New Roman"/>
          <w:color w:val="000000" w:themeColor="text1"/>
          <w:sz w:val="24"/>
          <w:szCs w:val="24"/>
          <w:shd w:val="clear" w:color="auto" w:fill="FFFFFF"/>
        </w:rPr>
      </w:pPr>
      <w:r w:rsidRPr="00F831F5">
        <w:rPr>
          <w:rFonts w:ascii="Times New Roman" w:hAnsi="Times New Roman" w:cs="Times New Roman"/>
          <w:b/>
          <w:color w:val="000000" w:themeColor="text1"/>
          <w:sz w:val="24"/>
          <w:szCs w:val="24"/>
          <w:lang w:eastAsia="uk-UA"/>
        </w:rPr>
        <w:t>Витяг</w:t>
      </w:r>
      <w:r w:rsidRPr="00F831F5">
        <w:rPr>
          <w:rFonts w:ascii="Times New Roman" w:hAnsi="Times New Roman" w:cs="Times New Roman"/>
          <w:color w:val="000000" w:themeColor="text1"/>
          <w:sz w:val="24"/>
          <w:szCs w:val="24"/>
          <w:lang w:eastAsia="uk-UA"/>
        </w:rPr>
        <w:t xml:space="preserve"> з </w:t>
      </w:r>
      <w:r w:rsidRPr="00F831F5">
        <w:rPr>
          <w:rFonts w:ascii="Times New Roman" w:hAnsi="Times New Roman" w:cs="Times New Roman"/>
          <w:b/>
          <w:color w:val="000000" w:themeColor="text1"/>
          <w:sz w:val="24"/>
          <w:szCs w:val="24"/>
          <w:lang w:eastAsia="uk-UA"/>
        </w:rPr>
        <w:t>Регламенту</w:t>
      </w:r>
      <w:r w:rsidRPr="00F831F5">
        <w:rPr>
          <w:rFonts w:ascii="Times New Roman" w:hAnsi="Times New Roman" w:cs="Times New Roman"/>
          <w:color w:val="000000" w:themeColor="text1"/>
          <w:sz w:val="24"/>
          <w:szCs w:val="24"/>
          <w:lang w:eastAsia="uk-UA"/>
        </w:rPr>
        <w:t xml:space="preserve"> </w:t>
      </w:r>
      <w:r w:rsidRPr="00F831F5">
        <w:rPr>
          <w:rStyle w:val="a4"/>
          <w:rFonts w:ascii="Times New Roman" w:hAnsi="Times New Roman" w:cs="Times New Roman"/>
          <w:color w:val="000000" w:themeColor="text1"/>
          <w:sz w:val="24"/>
          <w:szCs w:val="24"/>
          <w:shd w:val="clear" w:color="auto" w:fill="FFFFFF"/>
        </w:rPr>
        <w:t xml:space="preserve">Володимир – Волинської міської ради VII скликання </w:t>
      </w:r>
    </w:p>
    <w:p w:rsidR="00F831F5" w:rsidRPr="00F831F5" w:rsidRDefault="00B374D0" w:rsidP="00F831F5">
      <w:pPr>
        <w:jc w:val="center"/>
        <w:rPr>
          <w:rFonts w:ascii="Times New Roman" w:hAnsi="Times New Roman" w:cs="Times New Roman"/>
          <w:color w:val="000000" w:themeColor="text1"/>
          <w:sz w:val="24"/>
          <w:szCs w:val="24"/>
          <w:lang w:eastAsia="uk-UA"/>
        </w:rPr>
      </w:pPr>
      <w:r>
        <w:rPr>
          <w:rStyle w:val="a4"/>
          <w:rFonts w:ascii="Times New Roman" w:hAnsi="Times New Roman" w:cs="Times New Roman"/>
          <w:color w:val="000000" w:themeColor="text1"/>
          <w:sz w:val="24"/>
          <w:szCs w:val="24"/>
          <w:shd w:val="clear" w:color="auto" w:fill="FFFFFF"/>
        </w:rPr>
        <w:t>(</w:t>
      </w:r>
      <w:r w:rsidRPr="00F831F5">
        <w:rPr>
          <w:rFonts w:ascii="Times New Roman" w:hAnsi="Times New Roman" w:cs="Times New Roman"/>
          <w:b/>
          <w:color w:val="000000" w:themeColor="text1"/>
          <w:sz w:val="24"/>
          <w:szCs w:val="24"/>
          <w:lang w:eastAsia="uk-UA"/>
        </w:rPr>
        <w:t>Регламенту</w:t>
      </w:r>
      <w:r w:rsidRPr="00F831F5">
        <w:rPr>
          <w:rFonts w:ascii="Times New Roman" w:hAnsi="Times New Roman" w:cs="Times New Roman"/>
          <w:color w:val="000000" w:themeColor="text1"/>
          <w:sz w:val="24"/>
          <w:szCs w:val="24"/>
          <w:lang w:eastAsia="uk-UA"/>
        </w:rPr>
        <w:t xml:space="preserve"> </w:t>
      </w:r>
      <w:r w:rsidRPr="00F831F5">
        <w:rPr>
          <w:rStyle w:val="a4"/>
          <w:rFonts w:ascii="Times New Roman" w:hAnsi="Times New Roman" w:cs="Times New Roman"/>
          <w:color w:val="000000" w:themeColor="text1"/>
          <w:sz w:val="24"/>
          <w:szCs w:val="24"/>
          <w:shd w:val="clear" w:color="auto" w:fill="FFFFFF"/>
        </w:rPr>
        <w:t xml:space="preserve">Володимир – Волинської міської ради VII скликання </w:t>
      </w:r>
      <w:r w:rsidR="00F831F5" w:rsidRPr="00F831F5">
        <w:rPr>
          <w:rStyle w:val="a4"/>
          <w:rFonts w:ascii="Times New Roman" w:hAnsi="Times New Roman" w:cs="Times New Roman"/>
          <w:color w:val="000000" w:themeColor="text1"/>
          <w:sz w:val="24"/>
          <w:szCs w:val="24"/>
          <w:shd w:val="clear" w:color="auto" w:fill="FFFFFF"/>
        </w:rPr>
        <w:t>затверджено</w:t>
      </w:r>
      <w:bookmarkStart w:id="0" w:name="_GoBack"/>
      <w:bookmarkEnd w:id="0"/>
      <w:r w:rsidR="00F831F5" w:rsidRPr="00F831F5">
        <w:rPr>
          <w:rStyle w:val="a4"/>
          <w:rFonts w:ascii="Times New Roman" w:hAnsi="Times New Roman" w:cs="Times New Roman"/>
          <w:color w:val="000000" w:themeColor="text1"/>
          <w:sz w:val="24"/>
          <w:szCs w:val="24"/>
          <w:shd w:val="clear" w:color="auto" w:fill="FFFFFF"/>
        </w:rPr>
        <w:t xml:space="preserve"> рішенням міської ради від 08.04.2016р. №7/29 «Про затвердження в новій редакції регламенту Володимир-Волинської міської ради сьомого скликання»</w:t>
      </w:r>
      <w:r>
        <w:rPr>
          <w:rStyle w:val="a4"/>
          <w:rFonts w:ascii="Times New Roman" w:hAnsi="Times New Roman" w:cs="Times New Roman"/>
          <w:color w:val="000000" w:themeColor="text1"/>
          <w:sz w:val="24"/>
          <w:szCs w:val="24"/>
          <w:shd w:val="clear" w:color="auto" w:fill="FFFFFF"/>
        </w:rPr>
        <w:t>)</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РОЗДІЛ V. ЕТИКА, ДИСЦИПІЛІНА, КОНФЛІКТ ІНТЕРЕСІВ ТА ЗАХОДИ ВПЛИВУ. ПРИКІНЦЕВІ ПОЛОЖЕННЯ</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 Стаття 48. Норми депутатської етики та дисципліна</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Депутат несе персональну відповідальність за зміст своїх виступів, їх правдивість та етичність.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Під час виконання депутатських повноважень, для головуючого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Депутати, присутні на засіданні Ради, зобов’язані мати охайний зовнішній вигляд, мати нагрудний знак депутата місцевої ради та посвідчення депутата.</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Під час пленарного засідання головуючий, депутати, а також запрошені особи, присутні на засіданні члени територіальної громади міста та представники засобів масової інформації не повинні заважити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міський голова, депутати, а також запрошені особи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Вимоги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Головуючий,секретар, депутати, інші присутні на пленарному засіданні Ради особи зобов’язані дотримуватись вимог даного регламенту.</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 xml:space="preserve">8.Депутат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w:t>
      </w:r>
      <w:r w:rsidRPr="00F831F5">
        <w:rPr>
          <w:rFonts w:ascii="Times New Roman" w:hAnsi="Times New Roman" w:cs="Times New Roman"/>
          <w:sz w:val="24"/>
          <w:szCs w:val="24"/>
          <w:lang w:eastAsia="uk-UA"/>
        </w:rPr>
        <w:lastRenderedPageBreak/>
        <w:t>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 Повноваження вести діловодство та працювати з депутатами в частині виникнення у них реального чи потенційного конфлікту інтересів покладено на комісію з питань законності правопорядку, депутатської діяльності, регламенту, зв’язків з громадськими організаціями та об’єднаннями громадян.</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Стаття 49. Заходи впливу за порушення вимог Регламенту</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За порушення вимог даного регламенту до порушника можуть застосовуватись наступні заходи дисциплінарного впливу:</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1. попередження;</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2. позбавлення права на продовження виступу;</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3. Позбавлення права виступу до закінчення пленарного засідання;</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4. Видалення з зали пленарного засідання (зали роботи комісії) до закінчення засідання.</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Стягнення застосовуються за процедурним рішенням Ради (комісії) за пропозицією, внесеною головуючим або депутатом.</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 реагування виступаючого на звернення головуючого, головуючий може поставити на голосування питання про позбавленян права виступу. Якщо вказана пропозиція головуючого не буде підтримана процедурним рішенням ради, виступ промовця повинен бути продовженим із додаванням до виступу часу, який було використано для голосування з цього процедурного питання.</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До застосування стягнення з метою наведення порядку в залі засідань головуючий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вчинення порушення або вчинив порушення повторно, головуючий або депутат вносить пропозицію накласти на порушника стягнення та пропонує адекватний, на його думку, вид стягнення. Головуючий зобов’язаний поставити дану пропозицію на голосування для прийняття процедурного рішення Ради (процедурного рішення комісії).</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За систематичне (два і більше рази поспіль) невідвідування без поважних причин пленарних засідань Ради, засідань постійної чи тимчасової контрольної комісій депутату може бути оголошено догану.</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Пропуск депутатом протягом року більше половини пленарних засідань або засідань постійної комісії є підставою відкликання виборцями депутата.</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Стягнення, передбачені п.п. 1.3., 1.4. цієї статті Регламенту, застосовуються до порушників за невиконання вимог статей цього регламенту, а також до порушників, що вчинили такі порушення на засіданнях постійної чи тимчасової контрольної комісій, в т.ч.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lastRenderedPageBreak/>
        <w:t>Стягнення, передбачене п. 1.5. цієї статті Регламенту, застосовуються як крайній захід впливу на порушника за вчинення ним дій, які грубо порушують вимоги цього Регламенту, в т.ч. не реагування на вимоги головуючого,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поліції.</w:t>
      </w:r>
    </w:p>
    <w:p w:rsidR="00F831F5" w:rsidRPr="00F831F5" w:rsidRDefault="00F831F5" w:rsidP="00F831F5">
      <w:pPr>
        <w:jc w:val="both"/>
        <w:rPr>
          <w:rFonts w:ascii="Times New Roman" w:hAnsi="Times New Roman" w:cs="Times New Roman"/>
          <w:sz w:val="24"/>
          <w:szCs w:val="24"/>
          <w:lang w:eastAsia="uk-UA"/>
        </w:rPr>
      </w:pPr>
      <w:r w:rsidRPr="00F831F5">
        <w:rPr>
          <w:rFonts w:ascii="Times New Roman" w:hAnsi="Times New Roman" w:cs="Times New Roman"/>
          <w:sz w:val="24"/>
          <w:szCs w:val="24"/>
          <w:lang w:eastAsia="uk-UA"/>
        </w:rPr>
        <w:t>Головуючий на засіданні зобов’язаний дотримуватись усіх норм та вимог, передбачених цим Регламентом. До головуючого на засіданні ради (комісії) можуть бути застосовані заходи дисциплінарного впливу, передбачені даним Регламентом. При цьому, головуючий не може ухилитись від поставлення на голосування питання про застосування до нього заходів дисциплінарного впливу. Окрім цього, до головуючого можуть бути застосовані заходи дисциплінарного впливу за грубе і очевидне порушення порядку ведення засідання та неналежне виконання обов’язків головуючого, які встановлені даними Регламентом та нормами діючого законодавства.</w:t>
      </w:r>
    </w:p>
    <w:sectPr w:rsidR="00F831F5" w:rsidRPr="00F831F5" w:rsidSect="00F831F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7E58"/>
    <w:multiLevelType w:val="multilevel"/>
    <w:tmpl w:val="7186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11242"/>
    <w:multiLevelType w:val="multilevel"/>
    <w:tmpl w:val="345CF7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887E7C"/>
    <w:multiLevelType w:val="multilevel"/>
    <w:tmpl w:val="6EBE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F5"/>
    <w:rsid w:val="00B374D0"/>
    <w:rsid w:val="00E923AB"/>
    <w:rsid w:val="00F831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3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1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831F5"/>
    <w:rPr>
      <w:b/>
      <w:bCs/>
    </w:rPr>
  </w:style>
  <w:style w:type="paragraph" w:styleId="a5">
    <w:name w:val="No Spacing"/>
    <w:uiPriority w:val="1"/>
    <w:qFormat/>
    <w:rsid w:val="00F831F5"/>
    <w:pPr>
      <w:spacing w:after="0" w:line="240" w:lineRule="auto"/>
    </w:pPr>
  </w:style>
  <w:style w:type="character" w:customStyle="1" w:styleId="10">
    <w:name w:val="Заголовок 1 Знак"/>
    <w:basedOn w:val="a0"/>
    <w:link w:val="1"/>
    <w:uiPriority w:val="9"/>
    <w:rsid w:val="00F831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3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1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831F5"/>
    <w:rPr>
      <w:b/>
      <w:bCs/>
    </w:rPr>
  </w:style>
  <w:style w:type="paragraph" w:styleId="a5">
    <w:name w:val="No Spacing"/>
    <w:uiPriority w:val="1"/>
    <w:qFormat/>
    <w:rsid w:val="00F831F5"/>
    <w:pPr>
      <w:spacing w:after="0" w:line="240" w:lineRule="auto"/>
    </w:pPr>
  </w:style>
  <w:style w:type="character" w:customStyle="1" w:styleId="10">
    <w:name w:val="Заголовок 1 Знак"/>
    <w:basedOn w:val="a0"/>
    <w:link w:val="1"/>
    <w:uiPriority w:val="9"/>
    <w:rsid w:val="00F831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4500</Words>
  <Characters>2565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2020-05-28T14:00:00Z</dcterms:created>
  <dcterms:modified xsi:type="dcterms:W3CDTF">2020-05-29T05:46:00Z</dcterms:modified>
</cp:coreProperties>
</file>